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0CF2" w:rsidTr="00AC0CF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C0CF2">
              <w:trPr>
                <w:jc w:val="center"/>
              </w:trPr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C0CF2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C0CF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C0CF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C0CF2" w:rsidRDefault="00AC0CF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372100" cy="3009900"/>
                                                <wp:effectExtent l="0" t="0" r="0" b="0"/>
                                                <wp:docPr id="6" name="Obrázok 6" descr="https://gallery.mailchimp.com/3f0ee79dfe5fb15f2b5a0ad86/images/0e24605c-296f-42b3-bd13-218d7936863c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3f0ee79dfe5fb15f2b5a0ad86/images/0e24605c-296f-42b3-bd13-218d7936863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3009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0CF2" w:rsidRDefault="00AC0C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0CF2" w:rsidRDefault="00AC0CF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0CF2" w:rsidRDefault="00AC0CF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AC0CF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54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C0CF2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C0CF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C0CF2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C0CF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AC0CF2" w:rsidRDefault="00AC0CF2" w:rsidP="00AC0CF2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Milí priatelia,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dovoľujeme si Vás pozvať na tohtoročnú 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medzinárodnú konferenciu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Free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Market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Road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Show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, ktorú organizuje INESS spolu s rakúskym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Austrian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Economics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Center. Uskutoční sa 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14. mája (pondelok) od 9.00 do 12.30 v Hoteli Tatra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blízko prezidentského paláca v Bratislave.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Pripravené sú 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dva panely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. V prvom sa rečníci pokúsia hovoriť o konkrétnych 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hodnotách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, na ktorých bola vybudovaná Európa. Definícia termínov ako "sloboda" či "rovnosť" sa stala v posledných rokoch tým vágnejšia, čím častejšie tieto slová od politikov počujeme. Rečníkmi budú: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Michael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Jäger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| TAE a Bavorská asociácia daňových poplatníkov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Viktor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Nižňanský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| Autor reformy územnej samosprávy na Slovensku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Richard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Zundritsch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| Nezávislý finančný expert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John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Chisholm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| CEO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John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Chisholm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Ventures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Daniel J.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Mitchell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| Spoluzakladateľ Center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Freedom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and Prosperity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lastRenderedPageBreak/>
                                                  <w:br/>
                                                  <w:t xml:space="preserve">Druhý panel sa bude venovať mimoriadne aktuálnej domácej téme: 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poľnohospodárstvu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. Problémy tohto sektora napĺňajú titulky novín. Ale aké môžu byť riešenia? Rečníkmi budú: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>Ladislav Miko | Vedúci Zastúpenia Európskej komisie na Slovensku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>Erik Baláž | Dokumentarista, ochranár, podpredseda SPOLU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Jarmila Halgašová |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Tímlíderka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SaS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pre poľnohospodárstvo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Martin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Vlachynský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| INESS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Vstup je 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bezplatný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, avšak z dôvodu obmedzenej kapacity je 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nutná krátka registrácia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 xml:space="preserve"> na </w:t>
                                                </w: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Hypertextovprepojenie"/>
                                                      <w:rFonts w:ascii="Helvetica" w:eastAsia="Times New Roman" w:hAnsi="Helvetica" w:cs="Helvetica"/>
                                                      <w:color w:val="00ADD8"/>
                                                    </w:rPr>
                                                    <w:t>tejto stránke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>Prednášky budú simultánne prekladané do slovenského jazyka, aj naopak.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>Tešíme sa na vašu účasť!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 xml:space="preserve">Richard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t>Ďurana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80808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C0CF2" w:rsidRDefault="00AC0CF2" w:rsidP="00AC0C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C0CF2" w:rsidRDefault="00AC0CF2" w:rsidP="00AC0C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 w:rsidP="00AC0CF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654CC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C0CF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654CCA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C0CF2" w:rsidRDefault="00AC0CF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hyperlink r:id="rId7" w:tgtFrame="_blank" w:tooltip="Prihlásiť sa" w:history="1">
                                            <w:r>
                                              <w:rPr>
                                                <w:rStyle w:val="Hypertextovprepojenie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>Prihlásiť sa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0CF2" w:rsidRDefault="00AC0CF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C0CF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C0CF2" w:rsidRDefault="00AC0C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C0CF2" w:rsidRDefault="00AC0C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C0CF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C0CF2" w:rsidRDefault="00AC0CF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171575" cy="247650"/>
                                                <wp:effectExtent l="0" t="0" r="9525" b="0"/>
                                                <wp:docPr id="5" name="Obrázok 5" descr="https://gallery.mailchimp.com/3f0ee79dfe5fb15f2b5a0ad86/images/407dd9bd-7c0f-423c-ab9d-bfeff0e8eff7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3f0ee79dfe5fb15f2b5a0ad86/images/407dd9bd-7c0f-423c-ab9d-bfeff0e8eff7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71575" cy="247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0CF2" w:rsidRDefault="00AC0C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0CF2" w:rsidRDefault="00AC0CF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0CF2" w:rsidRDefault="00AC0CF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C0CF2">
              <w:trPr>
                <w:jc w:val="center"/>
              </w:trPr>
              <w:tc>
                <w:tcPr>
                  <w:tcW w:w="0" w:type="auto"/>
                  <w:shd w:val="clear" w:color="auto" w:fill="333333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C0CF2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C0CF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C0CF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AC0CF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35"/>
                                                </w:tblGrid>
                                                <w:tr w:rsidR="00AC0CF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AC0CF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AC0CF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C0CF2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C0CF2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C0CF2" w:rsidRDefault="00AC0CF2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4" name="Obrázok 4" descr="https://cdn-images.mailchimp.com/icons/social-block-v2/outline-light-facebook-48.png">
                                                                                      <a:hlinkClick xmlns:a="http://schemas.openxmlformats.org/drawingml/2006/main" r:id="rId9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" descr="https://cdn-images.mailchimp.com/icons/social-block-v2/outline-light-facebook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0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C0CF2" w:rsidRDefault="00AC0CF2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C0CF2" w:rsidRDefault="00AC0CF2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C0CF2" w:rsidRDefault="00AC0CF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AC0CF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C0CF2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C0CF2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C0CF2" w:rsidRDefault="00AC0CF2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3" name="Obrázok 3" descr="https://cdn-images.mailchimp.com/icons/social-block-v2/outline-light-twitter-48.png">
                                                                                      <a:hlinkClick xmlns:a="http://schemas.openxmlformats.org/drawingml/2006/main" r:id="rId11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4" descr="https://cdn-images.mailchimp.com/icons/social-block-v2/outline-light-twitter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2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C0CF2" w:rsidRDefault="00AC0CF2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C0CF2" w:rsidRDefault="00AC0CF2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C0CF2" w:rsidRDefault="00AC0CF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AC0CF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C0CF2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C0CF2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C0CF2" w:rsidRDefault="00AC0CF2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2" name="Obrázok 2" descr="https://cdn-images.mailchimp.com/icons/social-block-v2/outline-light-link-48.png">
                                                                                      <a:hlinkClick xmlns:a="http://schemas.openxmlformats.org/drawingml/2006/main" r:id="rId13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5" descr="https://cdn-images.mailchimp.com/icons/social-block-v2/outline-light-link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4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C0CF2" w:rsidRDefault="00AC0CF2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C0CF2" w:rsidRDefault="00AC0CF2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C0CF2" w:rsidRDefault="00AC0CF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C0CF2" w:rsidRDefault="00AC0CF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C0CF2" w:rsidRDefault="00AC0CF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C0CF2" w:rsidRDefault="00AC0CF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C0CF2" w:rsidRDefault="00AC0CF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50505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C0CF2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50505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C0CF2" w:rsidRDefault="00AC0C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C0CF2" w:rsidRDefault="00AC0C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C0CF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C0CF2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C0CF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AC0CF2" w:rsidRDefault="00AC0CF2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Richard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Durana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Ph.D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/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Director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INESS -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Institute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Economic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Social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Studies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Na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Vrsku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8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811 01 Bratislava, Slovakia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Tel..: +421 2 5441 0945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E-mail: </w:t>
                                                </w:r>
                                                <w:hyperlink r:id="rId15" w:history="1">
                                                  <w:r>
                                                    <w:rPr>
                                                      <w:rStyle w:val="Hypertextovprepojenie"/>
                                                      <w:rFonts w:ascii="Helvetica" w:eastAsia="Times New Roman" w:hAnsi="Helvetica" w:cs="Helvetica"/>
                                                      <w:sz w:val="18"/>
                                                      <w:szCs w:val="18"/>
                                                    </w:rPr>
                                                    <w:t>richard.durana@iness.sk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Zvraznenie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Nechcete viac dostávať takéto emaily?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6" w:history="1">
                                                  <w:r>
                                                    <w:rPr>
                                                      <w:rStyle w:val="Hypertextovprepojenie"/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</w:rPr>
                                                    <w:t>Odhláste sa tu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C0CF2" w:rsidRDefault="00AC0CF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C0CF2" w:rsidRDefault="00AC0CF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CF2" w:rsidRDefault="00AC0CF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0CF2" w:rsidRDefault="00AC0CF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0CF2" w:rsidRDefault="00AC0CF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C0CF2" w:rsidRDefault="00AC0CF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CF2" w:rsidRDefault="00AC0CF2" w:rsidP="00AC0CF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Obrázok 1" descr="https://iness.us9.list-manage.com/track/open.php?u=3f0ee79dfe5fb15f2b5a0ad86&amp;id=51b716682b&amp;e=95c3b7c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ess.us9.list-manage.com/track/open.php?u=3f0ee79dfe5fb15f2b5a0ad86&amp;id=51b716682b&amp;e=95c3b7c6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17" w:rsidRDefault="00646017"/>
    <w:sectPr w:rsidR="0064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2"/>
    <w:rsid w:val="00646017"/>
    <w:rsid w:val="00A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CF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C0CF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C0CF2"/>
    <w:rPr>
      <w:b/>
      <w:bCs/>
    </w:rPr>
  </w:style>
  <w:style w:type="character" w:styleId="Zvraznenie">
    <w:name w:val="Emphasis"/>
    <w:basedOn w:val="Predvolenpsmoodseku"/>
    <w:uiPriority w:val="20"/>
    <w:qFormat/>
    <w:rsid w:val="00AC0CF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0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CF2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CF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C0CF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C0CF2"/>
    <w:rPr>
      <w:b/>
      <w:bCs/>
    </w:rPr>
  </w:style>
  <w:style w:type="character" w:styleId="Zvraznenie">
    <w:name w:val="Emphasis"/>
    <w:basedOn w:val="Predvolenpsmoodseku"/>
    <w:uiPriority w:val="20"/>
    <w:qFormat/>
    <w:rsid w:val="00AC0CF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0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CF2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ess.us9.list-manage.com/track/click?u=3f0ee79dfe5fb15f2b5a0ad86&amp;id=00b8f9daf8&amp;e=95c3b7c6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ess.us9.list-manage.com/track/click?u=3f0ee79dfe5fb15f2b5a0ad86&amp;id=8b06ae7a78&amp;e=95c3b7c681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hyperlink" Target="https://iness.us9.list-manage.com/unsubscribe?u=3f0ee79dfe5fb15f2b5a0ad86&amp;id=09ea27501c&amp;e=95c3b7c681&amp;c=51b716682b" TargetMode="External"/><Relationship Id="rId1" Type="http://schemas.openxmlformats.org/officeDocument/2006/relationships/styles" Target="styles.xml"/><Relationship Id="rId6" Type="http://schemas.openxmlformats.org/officeDocument/2006/relationships/hyperlink" Target="https://iness.us9.list-manage.com/track/click?u=3f0ee79dfe5fb15f2b5a0ad86&amp;id=150e61e72c&amp;e=95c3b7c681" TargetMode="External"/><Relationship Id="rId11" Type="http://schemas.openxmlformats.org/officeDocument/2006/relationships/hyperlink" Target="https://iness.us9.list-manage.com/track/click?u=3f0ee79dfe5fb15f2b5a0ad86&amp;id=fb80bff4b5&amp;e=95c3b7c681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ichard.durana@iness.s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ess.us9.list-manage.com/track/click?u=3f0ee79dfe5fb15f2b5a0ad86&amp;id=abb2fba396&amp;e=95c3b7c68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2018-05-04T16:50:00Z</dcterms:created>
  <dcterms:modified xsi:type="dcterms:W3CDTF">2018-05-04T16:51:00Z</dcterms:modified>
</cp:coreProperties>
</file>