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3A8E7" w14:textId="6F960395" w:rsidR="00290C93" w:rsidRPr="00E23D00" w:rsidRDefault="00ED66D0" w:rsidP="00451613">
      <w:pPr>
        <w:pStyle w:val="Pagedecouverture"/>
      </w:pPr>
      <w:r>
        <w:pict w14:anchorId="5CCC06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5C2DCEA3-2753-479A-A400-45A790E0C0B5" style="width:450.7pt;height:454.45pt">
            <v:imagedata r:id="rId8" o:title=""/>
          </v:shape>
        </w:pict>
      </w:r>
    </w:p>
    <w:p w14:paraId="0DA03EDB" w14:textId="77777777" w:rsidR="001E47A8" w:rsidRDefault="001E47A8" w:rsidP="001E47A8">
      <w:pPr>
        <w:sectPr w:rsidR="001E47A8" w:rsidSect="004516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14:paraId="3050EAF3" w14:textId="4D552188" w:rsidR="001E47A8" w:rsidRDefault="00451613" w:rsidP="00451613">
      <w:pPr>
        <w:pStyle w:val="Typedudocument"/>
      </w:pPr>
      <w:r w:rsidRPr="00451613">
        <w:lastRenderedPageBreak/>
        <w:t>COMMISSION IMPLEMENTING DECISION</w:t>
      </w:r>
    </w:p>
    <w:p w14:paraId="61A35ABE" w14:textId="47FE337C" w:rsidR="00290C93" w:rsidRPr="00E23D00" w:rsidRDefault="00451613" w:rsidP="00451613">
      <w:pPr>
        <w:pStyle w:val="Datedadoption"/>
      </w:pPr>
      <w:r w:rsidRPr="00451613">
        <w:t xml:space="preserve">of </w:t>
      </w:r>
      <w:r w:rsidRPr="00451613">
        <w:rPr>
          <w:rStyle w:val="Marker2"/>
        </w:rPr>
        <w:t>XXX</w:t>
      </w:r>
    </w:p>
    <w:p w14:paraId="52DD0709" w14:textId="5FD18FA2" w:rsidR="00290C93" w:rsidRPr="00E23D00" w:rsidRDefault="00451613" w:rsidP="00451613">
      <w:pPr>
        <w:pStyle w:val="Titreobjet"/>
      </w:pPr>
      <w:r w:rsidRPr="00451613">
        <w:t>amending Decision 2011/891/EU and Implementing Decisions (EU) 2017/1211, (EU) 2017/1212, (EU) 2017/2449 and (EU) 2017/2450 as regards the representative or the authorisation holder</w:t>
      </w:r>
    </w:p>
    <w:p w14:paraId="0463C036" w14:textId="21DB8CCC" w:rsidR="00290C93" w:rsidRDefault="00451613" w:rsidP="00451613">
      <w:pPr>
        <w:pStyle w:val="IntrtEEE"/>
      </w:pPr>
      <w:r w:rsidRPr="00451613">
        <w:t>(Text with EEA relevance)</w:t>
      </w:r>
    </w:p>
    <w:p w14:paraId="3CA975C9" w14:textId="0B3E96B6" w:rsidR="00807B24" w:rsidRDefault="00451613" w:rsidP="00451613">
      <w:pPr>
        <w:pStyle w:val="Languesfaisantfoi"/>
      </w:pPr>
      <w:r w:rsidRPr="00451613">
        <w:t>(Only the French</w:t>
      </w:r>
      <w:r w:rsidR="00E72F48">
        <w:t xml:space="preserve"> and English</w:t>
      </w:r>
      <w:r w:rsidRPr="00451613">
        <w:t xml:space="preserve"> text</w:t>
      </w:r>
      <w:r w:rsidR="00E72F48">
        <w:t>s</w:t>
      </w:r>
      <w:r w:rsidR="00ED66D0">
        <w:t xml:space="preserve"> are</w:t>
      </w:r>
      <w:bookmarkStart w:id="0" w:name="_GoBack"/>
      <w:bookmarkEnd w:id="0"/>
      <w:r w:rsidRPr="00451613">
        <w:t xml:space="preserve"> authentic)</w:t>
      </w:r>
    </w:p>
    <w:p w14:paraId="01D1863A" w14:textId="77777777" w:rsidR="00290C93" w:rsidRPr="00E23D00" w:rsidRDefault="00290C93" w:rsidP="00BC6A9F">
      <w:pPr>
        <w:pStyle w:val="Institutionquiagit"/>
      </w:pPr>
      <w:r w:rsidRPr="00E23D00">
        <w:t>THE EUROPEAN COMMISSION,</w:t>
      </w:r>
    </w:p>
    <w:p w14:paraId="5E1711CC" w14:textId="77777777" w:rsidR="00290C93" w:rsidRPr="00E822E0" w:rsidRDefault="00290C93" w:rsidP="00BC6A9F">
      <w:pPr>
        <w:rPr>
          <w:szCs w:val="24"/>
        </w:rPr>
      </w:pPr>
      <w:r w:rsidRPr="00E822E0">
        <w:rPr>
          <w:color w:val="000000"/>
          <w:szCs w:val="24"/>
        </w:rPr>
        <w:t>Having regard to the Treaty on the Functioning of the European Union</w:t>
      </w:r>
      <w:r w:rsidRPr="00E822E0">
        <w:rPr>
          <w:szCs w:val="24"/>
        </w:rPr>
        <w:t>,</w:t>
      </w:r>
    </w:p>
    <w:p w14:paraId="361297D4" w14:textId="77777777" w:rsidR="00290C93" w:rsidRPr="00E822E0" w:rsidRDefault="00290C93" w:rsidP="00BC6A9F">
      <w:pPr>
        <w:rPr>
          <w:szCs w:val="24"/>
        </w:rPr>
      </w:pPr>
      <w:r w:rsidRPr="00E822E0">
        <w:rPr>
          <w:szCs w:val="24"/>
        </w:rPr>
        <w:t>Having regard to Regulation (EC) No 1829/2003 of the European Parliament and of the Council of 22 September 2003 on genetically modified food and feed</w:t>
      </w:r>
      <w:r w:rsidRPr="00E822E0">
        <w:rPr>
          <w:rStyle w:val="FootnoteReference"/>
          <w:szCs w:val="24"/>
        </w:rPr>
        <w:footnoteReference w:id="1"/>
      </w:r>
      <w:r w:rsidRPr="00E822E0">
        <w:rPr>
          <w:szCs w:val="24"/>
        </w:rPr>
        <w:t>, and in particular to Article 9(2) and Article 21(2) thereof,</w:t>
      </w:r>
    </w:p>
    <w:p w14:paraId="02576CE5" w14:textId="00BDD190" w:rsidR="00290C93" w:rsidRPr="0095516B" w:rsidRDefault="00290C93" w:rsidP="00BC6A9F">
      <w:pPr>
        <w:rPr>
          <w:szCs w:val="24"/>
        </w:rPr>
      </w:pPr>
      <w:r w:rsidRPr="0095516B">
        <w:rPr>
          <w:szCs w:val="24"/>
        </w:rPr>
        <w:t>Whereas:</w:t>
      </w:r>
    </w:p>
    <w:p w14:paraId="0F2FCF95" w14:textId="6BF78038" w:rsidR="000937DE" w:rsidRPr="00C24923" w:rsidRDefault="000937DE" w:rsidP="0058467E">
      <w:pPr>
        <w:pStyle w:val="Considrant"/>
        <w:numPr>
          <w:ilvl w:val="0"/>
          <w:numId w:val="1"/>
        </w:numPr>
        <w:rPr>
          <w:szCs w:val="24"/>
          <w:lang w:eastAsia="en-GB"/>
        </w:rPr>
      </w:pPr>
      <w:r w:rsidRPr="0095516B">
        <w:rPr>
          <w:szCs w:val="24"/>
        </w:rPr>
        <w:t>Dow AgroSciences Europe, based in the United Kingdom</w:t>
      </w:r>
      <w:r w:rsidR="006C4160" w:rsidRPr="0095516B">
        <w:rPr>
          <w:szCs w:val="24"/>
        </w:rPr>
        <w:t xml:space="preserve">, </w:t>
      </w:r>
      <w:r w:rsidR="00FA4A6B" w:rsidRPr="0095516B">
        <w:rPr>
          <w:szCs w:val="24"/>
        </w:rPr>
        <w:t xml:space="preserve">is </w:t>
      </w:r>
      <w:r w:rsidR="006C4160" w:rsidRPr="0095516B">
        <w:rPr>
          <w:szCs w:val="24"/>
        </w:rPr>
        <w:t>representative</w:t>
      </w:r>
      <w:r w:rsidR="00816E9A" w:rsidRPr="0095516B">
        <w:rPr>
          <w:szCs w:val="24"/>
        </w:rPr>
        <w:t xml:space="preserve"> in the Union </w:t>
      </w:r>
      <w:r w:rsidR="009221D0" w:rsidRPr="0095516B">
        <w:rPr>
          <w:szCs w:val="24"/>
          <w:lang w:eastAsia="en-GB"/>
        </w:rPr>
        <w:t xml:space="preserve">of Dow AgroSciences LLC, Mycogen Seeds and M.S. Technologies LLC, based in the </w:t>
      </w:r>
      <w:r w:rsidR="009221D0" w:rsidRPr="0095516B">
        <w:rPr>
          <w:szCs w:val="24"/>
        </w:rPr>
        <w:t>United States</w:t>
      </w:r>
      <w:r w:rsidR="009221D0" w:rsidRPr="0095516B">
        <w:rPr>
          <w:szCs w:val="24"/>
          <w:lang w:eastAsia="en-GB"/>
        </w:rPr>
        <w:t xml:space="preserve">, </w:t>
      </w:r>
      <w:r w:rsidR="0058467E" w:rsidRPr="0095516B">
        <w:rPr>
          <w:szCs w:val="24"/>
          <w:lang w:eastAsia="en-GB"/>
        </w:rPr>
        <w:t>pursuant to Commission Decision 2011/891/EU</w:t>
      </w:r>
      <w:r w:rsidR="00934535" w:rsidRPr="0095516B">
        <w:rPr>
          <w:rStyle w:val="FootnoteReference"/>
          <w:szCs w:val="24"/>
        </w:rPr>
        <w:footnoteReference w:id="2"/>
      </w:r>
      <w:r w:rsidR="003D4237" w:rsidRPr="0095516B">
        <w:rPr>
          <w:szCs w:val="24"/>
          <w:lang w:eastAsia="en-GB"/>
        </w:rPr>
        <w:t xml:space="preserve"> and</w:t>
      </w:r>
      <w:r w:rsidR="0058467E" w:rsidRPr="0095516B">
        <w:rPr>
          <w:szCs w:val="24"/>
          <w:lang w:eastAsia="en-GB"/>
        </w:rPr>
        <w:t xml:space="preserve"> Commission Implementing Decisions </w:t>
      </w:r>
      <w:r w:rsidR="00DB0748" w:rsidRPr="0095516B">
        <w:rPr>
          <w:szCs w:val="24"/>
          <w:lang w:eastAsia="en-GB"/>
        </w:rPr>
        <w:t xml:space="preserve">(EU) </w:t>
      </w:r>
      <w:r w:rsidR="0058467E" w:rsidRPr="0095516B">
        <w:rPr>
          <w:szCs w:val="24"/>
          <w:lang w:eastAsia="en-GB"/>
        </w:rPr>
        <w:t>2017/1211</w:t>
      </w:r>
      <w:r w:rsidR="00934535" w:rsidRPr="0095516B">
        <w:rPr>
          <w:rStyle w:val="FootnoteReference"/>
          <w:szCs w:val="24"/>
        </w:rPr>
        <w:footnoteReference w:id="3"/>
      </w:r>
      <w:r w:rsidR="0058467E" w:rsidRPr="0095516B">
        <w:rPr>
          <w:szCs w:val="24"/>
          <w:lang w:eastAsia="en-GB"/>
        </w:rPr>
        <w:t>, (EU) 2017/2449</w:t>
      </w:r>
      <w:r w:rsidR="00934535" w:rsidRPr="0095516B">
        <w:rPr>
          <w:rStyle w:val="FootnoteReference"/>
          <w:szCs w:val="24"/>
        </w:rPr>
        <w:footnoteReference w:id="4"/>
      </w:r>
      <w:r w:rsidR="00176F50" w:rsidRPr="0095516B">
        <w:rPr>
          <w:szCs w:val="24"/>
          <w:lang w:eastAsia="en-GB"/>
        </w:rPr>
        <w:t xml:space="preserve"> and </w:t>
      </w:r>
      <w:r w:rsidR="0058467E" w:rsidRPr="0095516B">
        <w:rPr>
          <w:szCs w:val="24"/>
          <w:lang w:eastAsia="en-GB"/>
        </w:rPr>
        <w:t>(EU) 2017/2450</w:t>
      </w:r>
      <w:r w:rsidR="00934535" w:rsidRPr="0095516B">
        <w:rPr>
          <w:rStyle w:val="FootnoteReference"/>
          <w:szCs w:val="24"/>
        </w:rPr>
        <w:footnoteReference w:id="5"/>
      </w:r>
      <w:r w:rsidR="00DB0748" w:rsidRPr="0095516B">
        <w:rPr>
          <w:szCs w:val="24"/>
          <w:lang w:eastAsia="en-GB"/>
        </w:rPr>
        <w:t xml:space="preserve"> </w:t>
      </w:r>
      <w:r w:rsidRPr="0095516B">
        <w:rPr>
          <w:szCs w:val="24"/>
          <w:lang w:eastAsia="en-GB"/>
        </w:rPr>
        <w:t xml:space="preserve">for genetically modified food and feed </w:t>
      </w:r>
      <w:r w:rsidR="00816E9A" w:rsidRPr="0095516B">
        <w:rPr>
          <w:szCs w:val="24"/>
        </w:rPr>
        <w:t xml:space="preserve">in accordance with </w:t>
      </w:r>
      <w:r w:rsidRPr="0095516B">
        <w:rPr>
          <w:szCs w:val="24"/>
          <w:lang w:eastAsia="en-GB"/>
        </w:rPr>
        <w:t xml:space="preserve">Regulation (EC) No 1829/2003. </w:t>
      </w:r>
    </w:p>
    <w:p w14:paraId="558A092D" w14:textId="5EF694EB" w:rsidR="00A66E38" w:rsidRPr="0095516B" w:rsidRDefault="00A66E38" w:rsidP="00451613">
      <w:pPr>
        <w:pStyle w:val="Considrant"/>
        <w:keepNext/>
        <w:keepLines/>
        <w:numPr>
          <w:ilvl w:val="0"/>
          <w:numId w:val="1"/>
        </w:numPr>
        <w:rPr>
          <w:szCs w:val="24"/>
          <w:lang w:eastAsia="en-GB"/>
        </w:rPr>
      </w:pPr>
      <w:r w:rsidRPr="0095516B">
        <w:rPr>
          <w:szCs w:val="24"/>
        </w:rPr>
        <w:lastRenderedPageBreak/>
        <w:t xml:space="preserve">Dow AgroSciences Europe is also the authorisation holder for </w:t>
      </w:r>
      <w:r w:rsidR="00FB0FD8" w:rsidRPr="0095516B">
        <w:rPr>
          <w:szCs w:val="24"/>
        </w:rPr>
        <w:t xml:space="preserve">genetically modified products </w:t>
      </w:r>
      <w:r w:rsidR="0032726E" w:rsidRPr="0095516B">
        <w:rPr>
          <w:szCs w:val="24"/>
        </w:rPr>
        <w:t xml:space="preserve">authorised </w:t>
      </w:r>
      <w:r w:rsidR="00FB0FD8" w:rsidRPr="0095516B">
        <w:rPr>
          <w:szCs w:val="24"/>
        </w:rPr>
        <w:t xml:space="preserve">pursuant to </w:t>
      </w:r>
      <w:r w:rsidR="00FB0FD8" w:rsidRPr="0095516B">
        <w:t>Commission Implementing Decision (EU) 2017/1212</w:t>
      </w:r>
      <w:r w:rsidR="000C38FD" w:rsidRPr="0095516B">
        <w:rPr>
          <w:rStyle w:val="FootnoteReference"/>
          <w:szCs w:val="24"/>
        </w:rPr>
        <w:footnoteReference w:id="6"/>
      </w:r>
      <w:r w:rsidRPr="0095516B">
        <w:rPr>
          <w:szCs w:val="24"/>
        </w:rPr>
        <w:t>.</w:t>
      </w:r>
      <w:r w:rsidRPr="0095516B">
        <w:rPr>
          <w:szCs w:val="24"/>
          <w:lang w:eastAsia="en-GB"/>
        </w:rPr>
        <w:t xml:space="preserve"> </w:t>
      </w:r>
    </w:p>
    <w:p w14:paraId="33A06D30" w14:textId="1C4ED0CB" w:rsidR="00661D66" w:rsidRPr="00E822E0" w:rsidRDefault="00B73ABB" w:rsidP="00451613">
      <w:pPr>
        <w:pStyle w:val="Considrant"/>
        <w:keepNext/>
        <w:keepLines/>
        <w:numPr>
          <w:ilvl w:val="0"/>
          <w:numId w:val="1"/>
        </w:numPr>
        <w:rPr>
          <w:szCs w:val="24"/>
        </w:rPr>
      </w:pPr>
      <w:r w:rsidRPr="00E822E0">
        <w:rPr>
          <w:szCs w:val="24"/>
        </w:rPr>
        <w:t xml:space="preserve">By letter dated 13 September 2018, Dow AgroSciences </w:t>
      </w:r>
      <w:r w:rsidR="007770A8" w:rsidRPr="00E822E0">
        <w:rPr>
          <w:szCs w:val="24"/>
        </w:rPr>
        <w:t xml:space="preserve">Europe </w:t>
      </w:r>
      <w:r w:rsidRPr="00E822E0">
        <w:rPr>
          <w:szCs w:val="24"/>
        </w:rPr>
        <w:t xml:space="preserve">requested the Commission, in the context of the withdrawal of the United Kingdom from the European Union, </w:t>
      </w:r>
      <w:r w:rsidR="00733760">
        <w:rPr>
          <w:szCs w:val="24"/>
          <w:lang w:eastAsia="en-GB"/>
        </w:rPr>
        <w:t>that</w:t>
      </w:r>
      <w:r w:rsidRPr="00E822E0">
        <w:rPr>
          <w:szCs w:val="24"/>
          <w:lang w:eastAsia="en-GB"/>
        </w:rPr>
        <w:t xml:space="preserve"> the authorisations for genetically modified food and feed for which </w:t>
      </w:r>
      <w:r w:rsidR="00A66E38" w:rsidRPr="00E822E0">
        <w:rPr>
          <w:szCs w:val="24"/>
          <w:lang w:eastAsia="en-GB"/>
        </w:rPr>
        <w:t>th</w:t>
      </w:r>
      <w:r w:rsidR="000C38FD" w:rsidRPr="00E822E0">
        <w:rPr>
          <w:szCs w:val="24"/>
          <w:lang w:eastAsia="en-GB"/>
        </w:rPr>
        <w:t>e</w:t>
      </w:r>
      <w:r w:rsidR="00A66E38" w:rsidRPr="00E822E0">
        <w:rPr>
          <w:szCs w:val="24"/>
          <w:lang w:eastAsia="en-GB"/>
        </w:rPr>
        <w:t xml:space="preserve"> company</w:t>
      </w:r>
      <w:r w:rsidR="007770A8" w:rsidRPr="00E822E0">
        <w:rPr>
          <w:szCs w:val="24"/>
          <w:lang w:eastAsia="en-GB"/>
        </w:rPr>
        <w:t xml:space="preserve"> </w:t>
      </w:r>
      <w:r w:rsidRPr="00E822E0">
        <w:rPr>
          <w:szCs w:val="24"/>
          <w:lang w:eastAsia="en-GB"/>
        </w:rPr>
        <w:t xml:space="preserve">is </w:t>
      </w:r>
      <w:r w:rsidRPr="001725EB">
        <w:rPr>
          <w:szCs w:val="24"/>
          <w:lang w:eastAsia="en-GB"/>
        </w:rPr>
        <w:t>representative or authori</w:t>
      </w:r>
      <w:r w:rsidRPr="00E822E0">
        <w:rPr>
          <w:szCs w:val="24"/>
          <w:lang w:eastAsia="en-GB"/>
        </w:rPr>
        <w:t>sation holder</w:t>
      </w:r>
      <w:r w:rsidR="0032726E">
        <w:rPr>
          <w:szCs w:val="24"/>
          <w:lang w:eastAsia="en-GB"/>
        </w:rPr>
        <w:t>,</w:t>
      </w:r>
      <w:r w:rsidR="00005015" w:rsidRPr="00E822E0">
        <w:rPr>
          <w:szCs w:val="24"/>
          <w:lang w:eastAsia="en-GB"/>
        </w:rPr>
        <w:t xml:space="preserve"> </w:t>
      </w:r>
      <w:r w:rsidR="00733760">
        <w:rPr>
          <w:szCs w:val="24"/>
          <w:lang w:eastAsia="en-GB"/>
        </w:rPr>
        <w:t xml:space="preserve">should be transferred </w:t>
      </w:r>
      <w:r w:rsidRPr="00E822E0">
        <w:rPr>
          <w:szCs w:val="24"/>
          <w:lang w:eastAsia="en-GB"/>
        </w:rPr>
        <w:t>to Dow AgroSciences Distribution S</w:t>
      </w:r>
      <w:r w:rsidR="00E131EC" w:rsidRPr="00E822E0">
        <w:rPr>
          <w:szCs w:val="24"/>
          <w:lang w:eastAsia="en-GB"/>
        </w:rPr>
        <w:t>.</w:t>
      </w:r>
      <w:r w:rsidRPr="00E822E0">
        <w:rPr>
          <w:szCs w:val="24"/>
          <w:lang w:eastAsia="en-GB"/>
        </w:rPr>
        <w:t>A</w:t>
      </w:r>
      <w:r w:rsidR="00E131EC" w:rsidRPr="00E822E0">
        <w:rPr>
          <w:szCs w:val="24"/>
          <w:lang w:eastAsia="en-GB"/>
        </w:rPr>
        <w:t>.</w:t>
      </w:r>
      <w:r w:rsidRPr="00E822E0">
        <w:rPr>
          <w:szCs w:val="24"/>
          <w:lang w:eastAsia="en-GB"/>
        </w:rPr>
        <w:t>S</w:t>
      </w:r>
      <w:r w:rsidR="00E131EC" w:rsidRPr="00E822E0">
        <w:rPr>
          <w:szCs w:val="24"/>
          <w:lang w:eastAsia="en-GB"/>
        </w:rPr>
        <w:t>.</w:t>
      </w:r>
      <w:r w:rsidRPr="00E822E0">
        <w:rPr>
          <w:szCs w:val="24"/>
          <w:lang w:eastAsia="en-GB"/>
        </w:rPr>
        <w:t xml:space="preserve">, based in France. </w:t>
      </w:r>
      <w:r w:rsidR="00661D66" w:rsidRPr="00E822E0">
        <w:rPr>
          <w:szCs w:val="24"/>
          <w:lang w:eastAsia="en-GB"/>
        </w:rPr>
        <w:t xml:space="preserve">Dow AgroSciences Distribution S.A.S confirmed its agreement with the transfer by </w:t>
      </w:r>
      <w:r w:rsidR="00733760">
        <w:rPr>
          <w:szCs w:val="24"/>
          <w:lang w:eastAsia="en-GB"/>
        </w:rPr>
        <w:t xml:space="preserve">a </w:t>
      </w:r>
      <w:r w:rsidR="00661D66" w:rsidRPr="00E822E0">
        <w:rPr>
          <w:szCs w:val="24"/>
          <w:lang w:eastAsia="en-GB"/>
        </w:rPr>
        <w:t xml:space="preserve">letter </w:t>
      </w:r>
      <w:r w:rsidR="003D09C0" w:rsidRPr="00E822E0">
        <w:rPr>
          <w:szCs w:val="24"/>
          <w:lang w:eastAsia="en-GB"/>
        </w:rPr>
        <w:t>date</w:t>
      </w:r>
      <w:r w:rsidR="00733760">
        <w:rPr>
          <w:szCs w:val="24"/>
          <w:lang w:eastAsia="en-GB"/>
        </w:rPr>
        <w:t>d</w:t>
      </w:r>
      <w:r w:rsidR="003D09C0" w:rsidRPr="00E822E0">
        <w:rPr>
          <w:szCs w:val="24"/>
          <w:lang w:eastAsia="en-GB"/>
        </w:rPr>
        <w:t xml:space="preserve"> 7 September 2018</w:t>
      </w:r>
      <w:r w:rsidR="00661D66" w:rsidRPr="00E822E0">
        <w:rPr>
          <w:szCs w:val="24"/>
        </w:rPr>
        <w:t xml:space="preserve">. </w:t>
      </w:r>
    </w:p>
    <w:p w14:paraId="22E6A898" w14:textId="5316D5AC" w:rsidR="00661D66" w:rsidRPr="00E822E0" w:rsidRDefault="00661D66" w:rsidP="00661D66">
      <w:pPr>
        <w:pStyle w:val="Considrant"/>
        <w:numPr>
          <w:ilvl w:val="0"/>
          <w:numId w:val="1"/>
        </w:numPr>
        <w:rPr>
          <w:szCs w:val="24"/>
        </w:rPr>
      </w:pPr>
      <w:r w:rsidRPr="00E822E0">
        <w:rPr>
          <w:szCs w:val="24"/>
          <w:lang w:eastAsia="en-GB"/>
        </w:rPr>
        <w:t>By letter dated 10 October 2018, M</w:t>
      </w:r>
      <w:r w:rsidR="000C38FD" w:rsidRPr="00E822E0">
        <w:rPr>
          <w:szCs w:val="24"/>
          <w:lang w:eastAsia="en-GB"/>
        </w:rPr>
        <w:t>.</w:t>
      </w:r>
      <w:r w:rsidRPr="00E822E0">
        <w:rPr>
          <w:szCs w:val="24"/>
          <w:lang w:eastAsia="en-GB"/>
        </w:rPr>
        <w:t>S</w:t>
      </w:r>
      <w:r w:rsidR="000C38FD" w:rsidRPr="00E822E0">
        <w:rPr>
          <w:szCs w:val="24"/>
          <w:lang w:eastAsia="en-GB"/>
        </w:rPr>
        <w:t>.</w:t>
      </w:r>
      <w:r w:rsidRPr="00E822E0">
        <w:rPr>
          <w:szCs w:val="24"/>
          <w:lang w:eastAsia="en-GB"/>
        </w:rPr>
        <w:t xml:space="preserve"> Technologies </w:t>
      </w:r>
      <w:r w:rsidR="000C38FD" w:rsidRPr="00E822E0">
        <w:rPr>
          <w:szCs w:val="24"/>
          <w:lang w:eastAsia="en-GB"/>
        </w:rPr>
        <w:t xml:space="preserve">LLC </w:t>
      </w:r>
      <w:r w:rsidRPr="00E822E0">
        <w:rPr>
          <w:szCs w:val="24"/>
          <w:lang w:eastAsia="en-GB"/>
        </w:rPr>
        <w:t xml:space="preserve">confirmed its agreement </w:t>
      </w:r>
      <w:r w:rsidR="003D09C0" w:rsidRPr="00E822E0">
        <w:rPr>
          <w:szCs w:val="24"/>
          <w:lang w:eastAsia="en-GB"/>
        </w:rPr>
        <w:t>with</w:t>
      </w:r>
      <w:r w:rsidRPr="00E822E0">
        <w:rPr>
          <w:szCs w:val="24"/>
          <w:lang w:eastAsia="en-GB"/>
        </w:rPr>
        <w:t xml:space="preserve"> the transfer of the </w:t>
      </w:r>
      <w:r w:rsidR="00FB0FD8">
        <w:rPr>
          <w:szCs w:val="24"/>
          <w:lang w:eastAsia="en-GB"/>
        </w:rPr>
        <w:t xml:space="preserve">authorisations from the current </w:t>
      </w:r>
      <w:r w:rsidRPr="00E822E0">
        <w:rPr>
          <w:szCs w:val="24"/>
          <w:lang w:eastAsia="en-GB"/>
        </w:rPr>
        <w:t>representative.</w:t>
      </w:r>
    </w:p>
    <w:p w14:paraId="7071D080" w14:textId="6548F35A" w:rsidR="00797BA3" w:rsidRPr="00E822E0" w:rsidRDefault="00797BA3" w:rsidP="00E236F8">
      <w:pPr>
        <w:pStyle w:val="Considrant"/>
        <w:numPr>
          <w:ilvl w:val="0"/>
          <w:numId w:val="1"/>
        </w:numPr>
        <w:rPr>
          <w:szCs w:val="24"/>
        </w:rPr>
      </w:pPr>
      <w:r w:rsidRPr="00E822E0">
        <w:rPr>
          <w:szCs w:val="24"/>
          <w:lang w:eastAsia="en-GB"/>
        </w:rPr>
        <w:t xml:space="preserve">By letter dated </w:t>
      </w:r>
      <w:r w:rsidR="005B15BF" w:rsidRPr="00E822E0">
        <w:rPr>
          <w:szCs w:val="24"/>
          <w:lang w:eastAsia="en-GB"/>
        </w:rPr>
        <w:t>12 October 2018</w:t>
      </w:r>
      <w:r w:rsidRPr="00E822E0">
        <w:rPr>
          <w:szCs w:val="24"/>
          <w:lang w:eastAsia="en-GB"/>
        </w:rPr>
        <w:t>, Dow AgroSciences LLC</w:t>
      </w:r>
      <w:r w:rsidR="00A66E38" w:rsidRPr="00E822E0">
        <w:rPr>
          <w:szCs w:val="24"/>
        </w:rPr>
        <w:t xml:space="preserve"> </w:t>
      </w:r>
      <w:r w:rsidR="00661D66" w:rsidRPr="00E822E0">
        <w:rPr>
          <w:szCs w:val="24"/>
        </w:rPr>
        <w:t xml:space="preserve">also </w:t>
      </w:r>
      <w:r w:rsidRPr="00E822E0">
        <w:rPr>
          <w:szCs w:val="24"/>
          <w:lang w:eastAsia="en-GB"/>
        </w:rPr>
        <w:t xml:space="preserve">confirmed its agreement </w:t>
      </w:r>
      <w:r w:rsidR="003D09C0" w:rsidRPr="00E822E0">
        <w:rPr>
          <w:szCs w:val="24"/>
          <w:lang w:eastAsia="en-GB"/>
        </w:rPr>
        <w:t>with</w:t>
      </w:r>
      <w:r w:rsidR="00005015" w:rsidRPr="00E822E0">
        <w:rPr>
          <w:szCs w:val="24"/>
          <w:lang w:eastAsia="en-GB"/>
        </w:rPr>
        <w:t xml:space="preserve"> </w:t>
      </w:r>
      <w:r w:rsidRPr="00E822E0">
        <w:rPr>
          <w:szCs w:val="24"/>
          <w:lang w:eastAsia="en-GB"/>
        </w:rPr>
        <w:t xml:space="preserve">the transfer of </w:t>
      </w:r>
      <w:r w:rsidR="00661D66" w:rsidRPr="00E822E0">
        <w:rPr>
          <w:szCs w:val="24"/>
          <w:lang w:eastAsia="en-GB"/>
        </w:rPr>
        <w:t xml:space="preserve">the </w:t>
      </w:r>
      <w:r w:rsidRPr="00E822E0">
        <w:rPr>
          <w:szCs w:val="24"/>
          <w:lang w:eastAsia="en-GB"/>
        </w:rPr>
        <w:t>representative</w:t>
      </w:r>
      <w:r w:rsidR="007F2DA6" w:rsidRPr="00E822E0">
        <w:rPr>
          <w:szCs w:val="24"/>
          <w:lang w:eastAsia="en-GB"/>
        </w:rPr>
        <w:t xml:space="preserve"> and clarified that Mycogen </w:t>
      </w:r>
      <w:r w:rsidR="000937DE" w:rsidRPr="00E822E0">
        <w:rPr>
          <w:szCs w:val="24"/>
          <w:lang w:eastAsia="en-GB"/>
        </w:rPr>
        <w:t xml:space="preserve">Seeds </w:t>
      </w:r>
      <w:r w:rsidR="007F2DA6" w:rsidRPr="00E822E0">
        <w:rPr>
          <w:szCs w:val="24"/>
          <w:lang w:eastAsia="en-GB"/>
        </w:rPr>
        <w:t xml:space="preserve">is </w:t>
      </w:r>
      <w:r w:rsidR="00853DB7">
        <w:rPr>
          <w:szCs w:val="24"/>
          <w:lang w:eastAsia="en-GB"/>
        </w:rPr>
        <w:t>a subsidiary</w:t>
      </w:r>
      <w:r w:rsidR="005B15BF" w:rsidRPr="00E822E0">
        <w:rPr>
          <w:szCs w:val="24"/>
          <w:lang w:eastAsia="en-GB"/>
        </w:rPr>
        <w:t xml:space="preserve"> </w:t>
      </w:r>
      <w:r w:rsidR="007F2DA6" w:rsidRPr="00E822E0">
        <w:rPr>
          <w:szCs w:val="24"/>
          <w:lang w:eastAsia="en-GB"/>
        </w:rPr>
        <w:t>of Dow AgroSciences LLC.</w:t>
      </w:r>
      <w:r w:rsidR="00DF3E0F" w:rsidRPr="00E822E0">
        <w:rPr>
          <w:szCs w:val="24"/>
          <w:lang w:eastAsia="en-GB"/>
        </w:rPr>
        <w:t xml:space="preserve"> </w:t>
      </w:r>
    </w:p>
    <w:p w14:paraId="297DE77A" w14:textId="36EDBF18" w:rsidR="000C38FD" w:rsidRPr="00E822E0" w:rsidRDefault="00290C93">
      <w:pPr>
        <w:pStyle w:val="Considrant"/>
        <w:rPr>
          <w:szCs w:val="24"/>
        </w:rPr>
      </w:pPr>
      <w:r w:rsidRPr="00E822E0">
        <w:rPr>
          <w:szCs w:val="24"/>
        </w:rPr>
        <w:t xml:space="preserve">The proposed amendments </w:t>
      </w:r>
      <w:r w:rsidR="00711F44" w:rsidRPr="00451613">
        <w:rPr>
          <w:szCs w:val="24"/>
        </w:rPr>
        <w:t xml:space="preserve">concerning </w:t>
      </w:r>
      <w:r w:rsidR="00711F44">
        <w:rPr>
          <w:szCs w:val="24"/>
        </w:rPr>
        <w:t>the authorisation holders</w:t>
      </w:r>
      <w:r w:rsidR="00711F44" w:rsidRPr="00E822E0">
        <w:rPr>
          <w:szCs w:val="24"/>
        </w:rPr>
        <w:t xml:space="preserve"> </w:t>
      </w:r>
      <w:r w:rsidR="00711F44">
        <w:rPr>
          <w:szCs w:val="24"/>
        </w:rPr>
        <w:t xml:space="preserve">and consequently addressees of </w:t>
      </w:r>
      <w:r w:rsidRPr="00E822E0">
        <w:rPr>
          <w:szCs w:val="24"/>
        </w:rPr>
        <w:t xml:space="preserve">the authorisation decisions are purely administrative in nature and </w:t>
      </w:r>
      <w:r w:rsidR="0032726E">
        <w:rPr>
          <w:szCs w:val="24"/>
        </w:rPr>
        <w:t xml:space="preserve">therefore </w:t>
      </w:r>
      <w:r w:rsidRPr="00E822E0">
        <w:rPr>
          <w:szCs w:val="24"/>
        </w:rPr>
        <w:t>do not entail a new assessment of the products concerned.</w:t>
      </w:r>
    </w:p>
    <w:p w14:paraId="4B64FFEE" w14:textId="51C8908D" w:rsidR="00711F44" w:rsidRPr="00E822E0" w:rsidRDefault="00711F44" w:rsidP="00711F44">
      <w:pPr>
        <w:pStyle w:val="Considrant"/>
        <w:rPr>
          <w:szCs w:val="24"/>
        </w:rPr>
      </w:pPr>
      <w:r w:rsidRPr="00E822E0">
        <w:rPr>
          <w:szCs w:val="24"/>
        </w:rPr>
        <w:t>Commission Decision 2011/891/EU</w:t>
      </w:r>
      <w:r>
        <w:rPr>
          <w:szCs w:val="24"/>
        </w:rPr>
        <w:t xml:space="preserve"> and</w:t>
      </w:r>
      <w:r w:rsidRPr="00E822E0">
        <w:rPr>
          <w:szCs w:val="24"/>
        </w:rPr>
        <w:t xml:space="preserve"> Commission Implementing Decision</w:t>
      </w:r>
      <w:r>
        <w:rPr>
          <w:szCs w:val="24"/>
        </w:rPr>
        <w:t>s</w:t>
      </w:r>
      <w:r w:rsidRPr="00E822E0">
        <w:rPr>
          <w:szCs w:val="24"/>
        </w:rPr>
        <w:t xml:space="preserve"> (EU) 2017/1211, (EU) 2017/1212, (EU) 2017/2449</w:t>
      </w:r>
      <w:r>
        <w:rPr>
          <w:szCs w:val="24"/>
        </w:rPr>
        <w:t xml:space="preserve"> and</w:t>
      </w:r>
      <w:r w:rsidRPr="00E822E0">
        <w:rPr>
          <w:szCs w:val="24"/>
        </w:rPr>
        <w:t xml:space="preserve"> (EU) 2017/2450</w:t>
      </w:r>
      <w:r>
        <w:rPr>
          <w:szCs w:val="24"/>
        </w:rPr>
        <w:t xml:space="preserve"> should therefore be amended accordingly.</w:t>
      </w:r>
    </w:p>
    <w:p w14:paraId="0537EC68" w14:textId="77777777" w:rsidR="00290C93" w:rsidRPr="00E822E0" w:rsidRDefault="00290C93" w:rsidP="00290C93">
      <w:pPr>
        <w:pStyle w:val="Considrant"/>
        <w:rPr>
          <w:szCs w:val="24"/>
        </w:rPr>
      </w:pPr>
      <w:r w:rsidRPr="00E822E0">
        <w:rPr>
          <w:noProof/>
          <w:szCs w:val="24"/>
        </w:rPr>
        <w:t>The measures provided for in this Decision are in accordance with the opinion of the Standing Committee on Plants, Animals, Food and Feed,</w:t>
      </w:r>
    </w:p>
    <w:p w14:paraId="4D751358" w14:textId="77777777" w:rsidR="00290C93" w:rsidRPr="00E822E0" w:rsidRDefault="00290C93" w:rsidP="00BC6A9F">
      <w:pPr>
        <w:pStyle w:val="Formuledadoption"/>
        <w:rPr>
          <w:szCs w:val="24"/>
        </w:rPr>
      </w:pPr>
      <w:r w:rsidRPr="00E822E0">
        <w:rPr>
          <w:szCs w:val="24"/>
        </w:rPr>
        <w:t xml:space="preserve">HAS ADOPTED THIS DECISION: </w:t>
      </w:r>
    </w:p>
    <w:p w14:paraId="070D48BC" w14:textId="4D763AB8" w:rsidR="00290C93" w:rsidRPr="00E822E0" w:rsidRDefault="00290C93" w:rsidP="00BC6A9F">
      <w:pPr>
        <w:pStyle w:val="Titrearticle"/>
        <w:rPr>
          <w:b/>
          <w:i w:val="0"/>
          <w:szCs w:val="24"/>
        </w:rPr>
      </w:pPr>
      <w:r w:rsidRPr="00E822E0">
        <w:rPr>
          <w:szCs w:val="24"/>
        </w:rPr>
        <w:t xml:space="preserve">Article </w:t>
      </w:r>
      <w:r w:rsidR="00DC4AC1">
        <w:rPr>
          <w:szCs w:val="24"/>
        </w:rPr>
        <w:t>1</w:t>
      </w:r>
      <w:r w:rsidRPr="00E822E0">
        <w:rPr>
          <w:szCs w:val="24"/>
        </w:rPr>
        <w:br/>
      </w:r>
      <w:r w:rsidRPr="00E822E0">
        <w:rPr>
          <w:b/>
          <w:i w:val="0"/>
          <w:szCs w:val="24"/>
        </w:rPr>
        <w:t>Amendment to Commission Decision 201</w:t>
      </w:r>
      <w:r w:rsidR="002E5F9B" w:rsidRPr="00E822E0">
        <w:rPr>
          <w:b/>
          <w:i w:val="0"/>
          <w:szCs w:val="24"/>
        </w:rPr>
        <w:t>1</w:t>
      </w:r>
      <w:r w:rsidRPr="00E822E0">
        <w:rPr>
          <w:b/>
          <w:i w:val="0"/>
          <w:szCs w:val="24"/>
        </w:rPr>
        <w:t>/</w:t>
      </w:r>
      <w:r w:rsidR="002E5F9B" w:rsidRPr="00E822E0">
        <w:rPr>
          <w:b/>
          <w:i w:val="0"/>
          <w:szCs w:val="24"/>
        </w:rPr>
        <w:t>891</w:t>
      </w:r>
      <w:r w:rsidRPr="00E822E0">
        <w:rPr>
          <w:b/>
          <w:i w:val="0"/>
          <w:szCs w:val="24"/>
        </w:rPr>
        <w:t>/EU</w:t>
      </w:r>
    </w:p>
    <w:p w14:paraId="23ABF75E" w14:textId="4C185C7C" w:rsidR="00290C93" w:rsidRPr="00E822E0" w:rsidRDefault="00290C93" w:rsidP="00290C93">
      <w:pPr>
        <w:rPr>
          <w:szCs w:val="24"/>
        </w:rPr>
      </w:pPr>
      <w:r w:rsidRPr="00E822E0">
        <w:rPr>
          <w:szCs w:val="24"/>
        </w:rPr>
        <w:t xml:space="preserve">Commission Decision </w:t>
      </w:r>
      <w:r w:rsidR="002E5F9B" w:rsidRPr="00E822E0">
        <w:rPr>
          <w:szCs w:val="24"/>
        </w:rPr>
        <w:t>2011/891/EU</w:t>
      </w:r>
      <w:r w:rsidRPr="00E822E0">
        <w:rPr>
          <w:szCs w:val="24"/>
        </w:rPr>
        <w:t xml:space="preserve"> is amended as follows:</w:t>
      </w:r>
    </w:p>
    <w:p w14:paraId="2CE6A583" w14:textId="4BB78B32" w:rsidR="00ED699A" w:rsidRDefault="00290C93" w:rsidP="003624BE">
      <w:pPr>
        <w:pStyle w:val="Point0"/>
        <w:rPr>
          <w:szCs w:val="24"/>
        </w:rPr>
      </w:pPr>
      <w:r w:rsidRPr="00E822E0">
        <w:rPr>
          <w:szCs w:val="24"/>
        </w:rPr>
        <w:t>(1)</w:t>
      </w:r>
      <w:r w:rsidRPr="00E822E0">
        <w:rPr>
          <w:szCs w:val="24"/>
        </w:rPr>
        <w:tab/>
        <w:t>Article 6</w:t>
      </w:r>
      <w:r w:rsidR="00ED699A">
        <w:rPr>
          <w:szCs w:val="24"/>
        </w:rPr>
        <w:t xml:space="preserve"> is replaced by the following: </w:t>
      </w:r>
    </w:p>
    <w:p w14:paraId="1174222F" w14:textId="7F95710B" w:rsidR="00ED699A" w:rsidRPr="00451613" w:rsidRDefault="00DC2A0B" w:rsidP="00451613">
      <w:pPr>
        <w:pStyle w:val="Text1"/>
        <w:ind w:left="851"/>
        <w:jc w:val="center"/>
        <w:rPr>
          <w:i/>
        </w:rPr>
      </w:pPr>
      <w:r w:rsidRPr="00451613">
        <w:rPr>
          <w:i/>
        </w:rPr>
        <w:t>“</w:t>
      </w:r>
      <w:r w:rsidR="00ED699A" w:rsidRPr="00451613">
        <w:rPr>
          <w:i/>
        </w:rPr>
        <w:t>Article 6</w:t>
      </w:r>
      <w:r w:rsidRPr="00451613">
        <w:rPr>
          <w:i/>
        </w:rPr>
        <w:br/>
      </w:r>
      <w:r w:rsidR="00ED699A" w:rsidRPr="00451613">
        <w:rPr>
          <w:i/>
        </w:rPr>
        <w:t>Authorisation holder</w:t>
      </w:r>
    </w:p>
    <w:p w14:paraId="74EA4ABC" w14:textId="7B1682E3" w:rsidR="003624BE" w:rsidRPr="00E822E0" w:rsidRDefault="00ED699A" w:rsidP="00E354AA">
      <w:pPr>
        <w:pStyle w:val="Text1"/>
      </w:pPr>
      <w:r w:rsidRPr="00ED699A">
        <w:t xml:space="preserve">The authorisation holder shall be </w:t>
      </w:r>
      <w:r w:rsidRPr="00E822E0">
        <w:rPr>
          <w:lang w:val="en-US"/>
        </w:rPr>
        <w:t>Dow AgroSciences Distribution S.A.S.</w:t>
      </w:r>
      <w:r w:rsidR="00A71993">
        <w:rPr>
          <w:lang w:val="en-US"/>
        </w:rPr>
        <w:t>, France,</w:t>
      </w:r>
      <w:r w:rsidR="009233CC">
        <w:t xml:space="preserve"> </w:t>
      </w:r>
      <w:r w:rsidRPr="00ED699A">
        <w:t>representing Mycogen Seeds, United States.</w:t>
      </w:r>
      <w:r w:rsidR="003624BE" w:rsidRPr="00E822E0">
        <w:t>”;</w:t>
      </w:r>
    </w:p>
    <w:p w14:paraId="712DFAFA" w14:textId="53E4FE09" w:rsidR="00ED699A" w:rsidRDefault="00290C93" w:rsidP="003624BE">
      <w:pPr>
        <w:pStyle w:val="Point0"/>
        <w:rPr>
          <w:szCs w:val="24"/>
        </w:rPr>
      </w:pPr>
      <w:r w:rsidRPr="00E822E0">
        <w:rPr>
          <w:szCs w:val="24"/>
        </w:rPr>
        <w:t>(2)</w:t>
      </w:r>
      <w:r w:rsidRPr="00E822E0">
        <w:rPr>
          <w:szCs w:val="24"/>
        </w:rPr>
        <w:tab/>
      </w:r>
      <w:r w:rsidR="003624BE" w:rsidRPr="00E822E0">
        <w:rPr>
          <w:szCs w:val="24"/>
        </w:rPr>
        <w:t>Article 8</w:t>
      </w:r>
      <w:r w:rsidR="00ED699A">
        <w:rPr>
          <w:szCs w:val="24"/>
        </w:rPr>
        <w:t xml:space="preserve"> is replaced by the following: </w:t>
      </w:r>
    </w:p>
    <w:p w14:paraId="7ABD45CF" w14:textId="3B92E4DD" w:rsidR="00ED699A" w:rsidRPr="00451613" w:rsidRDefault="00ED699A" w:rsidP="00451613">
      <w:pPr>
        <w:pStyle w:val="Text1"/>
        <w:ind w:left="851"/>
        <w:jc w:val="center"/>
        <w:rPr>
          <w:i/>
        </w:rPr>
      </w:pPr>
      <w:r w:rsidRPr="00451613">
        <w:rPr>
          <w:i/>
        </w:rPr>
        <w:t>“Article 8</w:t>
      </w:r>
      <w:r w:rsidR="00E354AA" w:rsidRPr="00451613">
        <w:rPr>
          <w:i/>
        </w:rPr>
        <w:br/>
      </w:r>
      <w:r w:rsidRPr="00451613">
        <w:rPr>
          <w:i/>
        </w:rPr>
        <w:t>Addressee</w:t>
      </w:r>
    </w:p>
    <w:p w14:paraId="21BADB05" w14:textId="1B2E7DDB" w:rsidR="003624BE" w:rsidRPr="00E822E0" w:rsidRDefault="00ED699A" w:rsidP="00E354AA">
      <w:pPr>
        <w:pStyle w:val="Text1"/>
      </w:pPr>
      <w:r w:rsidRPr="00ED699A">
        <w:t xml:space="preserve">This Decision is addressed to </w:t>
      </w:r>
      <w:r w:rsidRPr="00E822E0">
        <w:rPr>
          <w:lang w:val="en-US"/>
        </w:rPr>
        <w:t xml:space="preserve">Dow AgroSciences Distribution S.A.S., </w:t>
      </w:r>
      <w:r w:rsidRPr="00E822E0">
        <w:t>6, rue Jean Pierre Timbaud, 78180 Montigny le Bretonneux, France</w:t>
      </w:r>
      <w:r w:rsidR="003E5605">
        <w:t>.</w:t>
      </w:r>
      <w:r w:rsidR="003624BE" w:rsidRPr="00E822E0">
        <w:t>”;</w:t>
      </w:r>
    </w:p>
    <w:p w14:paraId="6EC25689" w14:textId="14B4B43A" w:rsidR="00ED699A" w:rsidRDefault="00290C93" w:rsidP="00451613">
      <w:pPr>
        <w:pStyle w:val="Point0"/>
        <w:keepNext/>
        <w:keepLines/>
        <w:rPr>
          <w:szCs w:val="24"/>
        </w:rPr>
      </w:pPr>
      <w:r w:rsidRPr="00E822E0">
        <w:rPr>
          <w:szCs w:val="24"/>
        </w:rPr>
        <w:lastRenderedPageBreak/>
        <w:t>(3)</w:t>
      </w:r>
      <w:r w:rsidRPr="00E822E0">
        <w:rPr>
          <w:szCs w:val="24"/>
        </w:rPr>
        <w:tab/>
      </w:r>
      <w:r w:rsidR="00ED699A">
        <w:rPr>
          <w:szCs w:val="24"/>
        </w:rPr>
        <w:t>P</w:t>
      </w:r>
      <w:r w:rsidRPr="00E822E0">
        <w:rPr>
          <w:szCs w:val="24"/>
        </w:rPr>
        <w:t>oint (a) of the Annex</w:t>
      </w:r>
      <w:r w:rsidR="00ED699A">
        <w:rPr>
          <w:szCs w:val="24"/>
        </w:rPr>
        <w:t xml:space="preserve"> is replaced by the following: </w:t>
      </w:r>
    </w:p>
    <w:p w14:paraId="60B0F7AB" w14:textId="41D8B8C6" w:rsidR="00ED699A" w:rsidRDefault="00ED699A" w:rsidP="00451613">
      <w:pPr>
        <w:pStyle w:val="Point1"/>
        <w:keepNext/>
        <w:keepLines/>
      </w:pPr>
      <w:r>
        <w:t>“</w:t>
      </w:r>
      <w:r w:rsidR="00E354AA">
        <w:t>(a)</w:t>
      </w:r>
      <w:r w:rsidR="00E354AA">
        <w:tab/>
      </w:r>
      <w:r w:rsidRPr="00ED699A">
        <w:t xml:space="preserve">Applicant and Authorisation holder </w:t>
      </w:r>
    </w:p>
    <w:p w14:paraId="42B910C8" w14:textId="0F69892E" w:rsidR="00ED699A" w:rsidRDefault="00ED699A" w:rsidP="00451613">
      <w:pPr>
        <w:pStyle w:val="Text2"/>
        <w:keepNext/>
        <w:keepLines/>
      </w:pPr>
      <w:r w:rsidRPr="00ED699A">
        <w:t xml:space="preserve">Name: </w:t>
      </w:r>
      <w:r w:rsidRPr="00E822E0">
        <w:rPr>
          <w:lang w:val="en-US"/>
        </w:rPr>
        <w:t>Dow AgroSciences Distribution S.A.S.</w:t>
      </w:r>
    </w:p>
    <w:p w14:paraId="67914C7F" w14:textId="72F7DD5C" w:rsidR="005D3CAB" w:rsidRPr="00C24923" w:rsidRDefault="00ED699A" w:rsidP="00451613">
      <w:pPr>
        <w:pStyle w:val="Text2"/>
        <w:keepNext/>
        <w:keepLines/>
        <w:rPr>
          <w:szCs w:val="24"/>
          <w:lang w:val="fr-BE"/>
        </w:rPr>
      </w:pPr>
      <w:r w:rsidRPr="00C24923">
        <w:rPr>
          <w:szCs w:val="24"/>
          <w:lang w:val="fr-BE"/>
        </w:rPr>
        <w:t xml:space="preserve">Address: </w:t>
      </w:r>
      <w:r w:rsidR="001D75CC" w:rsidRPr="00C24923">
        <w:rPr>
          <w:szCs w:val="24"/>
          <w:lang w:val="fr-BE"/>
        </w:rPr>
        <w:t xml:space="preserve">6, rue Jean Pierre Timbaud, 78180 Montigny le Bretonneux, </w:t>
      </w:r>
      <w:r w:rsidR="00447DEF">
        <w:rPr>
          <w:szCs w:val="24"/>
          <w:lang w:val="fr-BE"/>
        </w:rPr>
        <w:t>France.</w:t>
      </w:r>
      <w:r w:rsidR="001D75CC" w:rsidRPr="00C24923">
        <w:rPr>
          <w:szCs w:val="24"/>
          <w:lang w:val="fr-BE"/>
        </w:rPr>
        <w:t>”.</w:t>
      </w:r>
    </w:p>
    <w:p w14:paraId="5EB16E04" w14:textId="18DB8939" w:rsidR="00D21B4E" w:rsidRPr="00E822E0" w:rsidRDefault="00D21B4E" w:rsidP="00D21B4E">
      <w:pPr>
        <w:pStyle w:val="Titrearticle"/>
        <w:rPr>
          <w:b/>
          <w:i w:val="0"/>
          <w:szCs w:val="24"/>
        </w:rPr>
      </w:pPr>
      <w:r w:rsidRPr="00E822E0">
        <w:rPr>
          <w:szCs w:val="24"/>
        </w:rPr>
        <w:t xml:space="preserve">Article </w:t>
      </w:r>
      <w:r w:rsidR="00DC4AC1">
        <w:rPr>
          <w:szCs w:val="24"/>
        </w:rPr>
        <w:t>2</w:t>
      </w:r>
      <w:r w:rsidRPr="00E822E0">
        <w:rPr>
          <w:szCs w:val="24"/>
        </w:rPr>
        <w:br/>
      </w:r>
      <w:r w:rsidRPr="00E822E0">
        <w:rPr>
          <w:b/>
          <w:i w:val="0"/>
          <w:szCs w:val="24"/>
        </w:rPr>
        <w:t>Amendment to Commission Implementing Decision (EU) 2017/1211</w:t>
      </w:r>
    </w:p>
    <w:p w14:paraId="57D66CAA" w14:textId="165B7979" w:rsidR="00D21B4E" w:rsidRPr="00E822E0" w:rsidRDefault="00D21B4E" w:rsidP="00D21B4E">
      <w:pPr>
        <w:rPr>
          <w:szCs w:val="24"/>
        </w:rPr>
      </w:pPr>
      <w:r w:rsidRPr="00E822E0">
        <w:rPr>
          <w:szCs w:val="24"/>
        </w:rPr>
        <w:t xml:space="preserve">Commission Implementing Decision </w:t>
      </w:r>
      <w:r w:rsidR="00D93D65" w:rsidRPr="00E822E0">
        <w:rPr>
          <w:szCs w:val="24"/>
        </w:rPr>
        <w:t xml:space="preserve">(EU) </w:t>
      </w:r>
      <w:r w:rsidRPr="00E822E0">
        <w:rPr>
          <w:szCs w:val="24"/>
        </w:rPr>
        <w:t>201</w:t>
      </w:r>
      <w:r w:rsidR="00D93D65" w:rsidRPr="00E822E0">
        <w:rPr>
          <w:szCs w:val="24"/>
        </w:rPr>
        <w:t>7/1211</w:t>
      </w:r>
      <w:r w:rsidRPr="00E822E0">
        <w:rPr>
          <w:szCs w:val="24"/>
        </w:rPr>
        <w:t xml:space="preserve"> is amended as follows:</w:t>
      </w:r>
    </w:p>
    <w:p w14:paraId="3AD2F5D7" w14:textId="392BFC37" w:rsidR="006F5F19" w:rsidRDefault="00D21B4E" w:rsidP="00C24923">
      <w:pPr>
        <w:pStyle w:val="Point0"/>
        <w:spacing w:before="0" w:after="0"/>
        <w:rPr>
          <w:szCs w:val="24"/>
        </w:rPr>
      </w:pPr>
      <w:r w:rsidRPr="00E822E0">
        <w:rPr>
          <w:szCs w:val="24"/>
        </w:rPr>
        <w:t>(1)</w:t>
      </w:r>
      <w:r w:rsidRPr="00E822E0">
        <w:rPr>
          <w:szCs w:val="24"/>
        </w:rPr>
        <w:tab/>
        <w:t>Article 6</w:t>
      </w:r>
      <w:r w:rsidR="006F5F19">
        <w:rPr>
          <w:szCs w:val="24"/>
        </w:rPr>
        <w:t xml:space="preserve"> </w:t>
      </w:r>
      <w:r w:rsidR="006F5F19" w:rsidRPr="00C24923">
        <w:rPr>
          <w:szCs w:val="24"/>
        </w:rPr>
        <w:t>is replaced by the following:</w:t>
      </w:r>
    </w:p>
    <w:p w14:paraId="4A958251" w14:textId="6C55AB22" w:rsidR="006F5F19" w:rsidRPr="00E354AA" w:rsidRDefault="006F5F19" w:rsidP="00451613">
      <w:pPr>
        <w:pStyle w:val="Text1"/>
        <w:ind w:left="851"/>
        <w:jc w:val="center"/>
        <w:rPr>
          <w:i/>
        </w:rPr>
      </w:pPr>
      <w:r w:rsidRPr="00451613">
        <w:rPr>
          <w:i/>
        </w:rPr>
        <w:t>“</w:t>
      </w:r>
      <w:r w:rsidRPr="001D2118">
        <w:rPr>
          <w:i/>
        </w:rPr>
        <w:t>Article 6</w:t>
      </w:r>
      <w:r w:rsidR="00E354AA">
        <w:rPr>
          <w:i/>
        </w:rPr>
        <w:br/>
      </w:r>
      <w:r w:rsidRPr="00E354AA">
        <w:rPr>
          <w:i/>
        </w:rPr>
        <w:t>Authorisation holder</w:t>
      </w:r>
    </w:p>
    <w:p w14:paraId="64B52B80" w14:textId="037F9B10" w:rsidR="006F5F19" w:rsidRPr="00B00A5F" w:rsidRDefault="006F5F19" w:rsidP="00E354AA">
      <w:pPr>
        <w:pStyle w:val="Text1"/>
      </w:pPr>
      <w:r w:rsidRPr="00B00A5F">
        <w:t>The authorisation holder shall be Dow AgroSciences Distribution S.A.S.</w:t>
      </w:r>
      <w:r w:rsidR="00A71993">
        <w:rPr>
          <w:lang w:val="en-US"/>
        </w:rPr>
        <w:t>, France,</w:t>
      </w:r>
      <w:r w:rsidRPr="00B00A5F">
        <w:t xml:space="preserve"> representing Mycogen Seeds, United States.”;</w:t>
      </w:r>
    </w:p>
    <w:p w14:paraId="564F5A89" w14:textId="20159AEC" w:rsidR="00B00A5F" w:rsidRDefault="00D21B4E" w:rsidP="00D21B4E">
      <w:pPr>
        <w:pStyle w:val="Point0"/>
        <w:rPr>
          <w:szCs w:val="24"/>
        </w:rPr>
      </w:pPr>
      <w:r w:rsidRPr="00E822E0">
        <w:rPr>
          <w:szCs w:val="24"/>
        </w:rPr>
        <w:t>(2)</w:t>
      </w:r>
      <w:r w:rsidRPr="00E822E0">
        <w:rPr>
          <w:szCs w:val="24"/>
        </w:rPr>
        <w:tab/>
        <w:t>Article 8</w:t>
      </w:r>
      <w:r w:rsidR="00B00A5F">
        <w:rPr>
          <w:szCs w:val="24"/>
        </w:rPr>
        <w:t xml:space="preserve"> </w:t>
      </w:r>
      <w:r w:rsidR="00B00A5F" w:rsidRPr="00C35283">
        <w:rPr>
          <w:szCs w:val="24"/>
        </w:rPr>
        <w:t>is replaced by the following:</w:t>
      </w:r>
    </w:p>
    <w:p w14:paraId="23C99C40" w14:textId="37BDD4F6" w:rsidR="00B00A5F" w:rsidRPr="00E354AA" w:rsidRDefault="00B00A5F" w:rsidP="00451613">
      <w:pPr>
        <w:pStyle w:val="Text1"/>
        <w:ind w:left="851"/>
        <w:jc w:val="center"/>
        <w:rPr>
          <w:i/>
        </w:rPr>
      </w:pPr>
      <w:r w:rsidRPr="00451613">
        <w:rPr>
          <w:i/>
        </w:rPr>
        <w:t>“</w:t>
      </w:r>
      <w:r w:rsidRPr="00B00A5F">
        <w:rPr>
          <w:i/>
        </w:rPr>
        <w:t>Article 8</w:t>
      </w:r>
      <w:r w:rsidR="00E354AA">
        <w:rPr>
          <w:i/>
        </w:rPr>
        <w:br/>
      </w:r>
      <w:r w:rsidRPr="00E354AA">
        <w:rPr>
          <w:i/>
        </w:rPr>
        <w:t>Addressee</w:t>
      </w:r>
    </w:p>
    <w:p w14:paraId="087C0D35" w14:textId="0E30A06F" w:rsidR="00B00A5F" w:rsidRPr="00A8611A" w:rsidRDefault="00B00A5F" w:rsidP="00E354AA">
      <w:pPr>
        <w:pStyle w:val="Text1"/>
      </w:pPr>
      <w:r w:rsidRPr="00447DEF">
        <w:t>This Decision is addressed to Dow AgroSciences Distribution S.A.S., 6, rue Jean Pierr</w:t>
      </w:r>
      <w:r w:rsidRPr="00A8611A">
        <w:t>e Timbaud, 78180 Montigny le Bretonneux, France.”;</w:t>
      </w:r>
    </w:p>
    <w:p w14:paraId="5ACC9AB9" w14:textId="1C801C70" w:rsidR="00447DEF" w:rsidRDefault="00D21B4E" w:rsidP="00CF66D0">
      <w:pPr>
        <w:pStyle w:val="Point0"/>
        <w:rPr>
          <w:szCs w:val="24"/>
        </w:rPr>
      </w:pPr>
      <w:r w:rsidRPr="00E822E0">
        <w:rPr>
          <w:szCs w:val="24"/>
        </w:rPr>
        <w:t>(3)</w:t>
      </w:r>
      <w:r w:rsidRPr="00E822E0">
        <w:rPr>
          <w:szCs w:val="24"/>
        </w:rPr>
        <w:tab/>
      </w:r>
      <w:r w:rsidR="00B00A5F">
        <w:rPr>
          <w:szCs w:val="24"/>
        </w:rPr>
        <w:t>P</w:t>
      </w:r>
      <w:r w:rsidRPr="00E822E0">
        <w:rPr>
          <w:szCs w:val="24"/>
        </w:rPr>
        <w:t>oint (a) of the Annex</w:t>
      </w:r>
      <w:r w:rsidR="00447DEF">
        <w:rPr>
          <w:szCs w:val="24"/>
        </w:rPr>
        <w:t xml:space="preserve"> </w:t>
      </w:r>
      <w:r w:rsidR="00447DEF" w:rsidRPr="00C35283">
        <w:rPr>
          <w:szCs w:val="24"/>
        </w:rPr>
        <w:t>is replaced by the following:</w:t>
      </w:r>
    </w:p>
    <w:p w14:paraId="18D016B6" w14:textId="313B997D" w:rsidR="006F5F19" w:rsidRPr="00447DEF" w:rsidRDefault="00E354AA" w:rsidP="00E354AA">
      <w:pPr>
        <w:pStyle w:val="Point1"/>
      </w:pPr>
      <w:r>
        <w:t>“(a)</w:t>
      </w:r>
      <w:r>
        <w:tab/>
      </w:r>
      <w:r w:rsidR="006F5F19" w:rsidRPr="00447DEF">
        <w:t>Applicant and Authorisation holder</w:t>
      </w:r>
    </w:p>
    <w:p w14:paraId="0203F7F9" w14:textId="77777777" w:rsidR="006F5F19" w:rsidRPr="00447DEF" w:rsidRDefault="006F5F19" w:rsidP="00E354AA">
      <w:pPr>
        <w:pStyle w:val="Text2"/>
      </w:pPr>
      <w:r w:rsidRPr="00447DEF">
        <w:t>Name: Dow AgroSciences Distribution S.A.S.</w:t>
      </w:r>
    </w:p>
    <w:p w14:paraId="4CC0DDE2" w14:textId="752D1DA9" w:rsidR="006F5F19" w:rsidRPr="00C24923" w:rsidRDefault="006F5F19" w:rsidP="00E354AA">
      <w:pPr>
        <w:pStyle w:val="Text2"/>
        <w:rPr>
          <w:lang w:val="fr-BE"/>
        </w:rPr>
      </w:pPr>
      <w:r w:rsidRPr="00C24923">
        <w:rPr>
          <w:lang w:val="fr-BE"/>
        </w:rPr>
        <w:t>Address: 6, rue Jean Pierre Timbaud, 78180 Montigny le Bretonneux, France</w:t>
      </w:r>
      <w:r w:rsidR="00447DEF" w:rsidRPr="00C24923">
        <w:rPr>
          <w:lang w:val="fr-BE"/>
        </w:rPr>
        <w:t>.</w:t>
      </w:r>
      <w:r w:rsidRPr="00C24923">
        <w:rPr>
          <w:lang w:val="fr-BE"/>
        </w:rPr>
        <w:t>”.</w:t>
      </w:r>
    </w:p>
    <w:p w14:paraId="5B4EE992" w14:textId="10C22C77" w:rsidR="003F136A" w:rsidRPr="00E822E0" w:rsidRDefault="003F136A" w:rsidP="003F136A">
      <w:pPr>
        <w:pStyle w:val="Titrearticle"/>
        <w:rPr>
          <w:b/>
          <w:i w:val="0"/>
          <w:szCs w:val="24"/>
        </w:rPr>
      </w:pPr>
      <w:r w:rsidRPr="00E822E0">
        <w:rPr>
          <w:szCs w:val="24"/>
        </w:rPr>
        <w:t xml:space="preserve">Article </w:t>
      </w:r>
      <w:r w:rsidR="00527E35">
        <w:rPr>
          <w:szCs w:val="24"/>
        </w:rPr>
        <w:t>3</w:t>
      </w:r>
      <w:r w:rsidRPr="00E822E0">
        <w:rPr>
          <w:szCs w:val="24"/>
        </w:rPr>
        <w:br/>
      </w:r>
      <w:r w:rsidRPr="00E822E0">
        <w:rPr>
          <w:b/>
          <w:i w:val="0"/>
          <w:szCs w:val="24"/>
        </w:rPr>
        <w:t>Amendment to Commission Implementing Decision (EU) 2017/1212</w:t>
      </w:r>
    </w:p>
    <w:p w14:paraId="7D637E5F" w14:textId="50084A77" w:rsidR="003F136A" w:rsidRPr="00E822E0" w:rsidRDefault="003F136A" w:rsidP="003F136A">
      <w:pPr>
        <w:rPr>
          <w:szCs w:val="24"/>
        </w:rPr>
      </w:pPr>
      <w:r w:rsidRPr="00E822E0">
        <w:rPr>
          <w:szCs w:val="24"/>
        </w:rPr>
        <w:t>Commission Implementing Decision (EU) 2017/1212 is amended as follows:</w:t>
      </w:r>
    </w:p>
    <w:p w14:paraId="6CF3F7C6" w14:textId="15B9A365" w:rsidR="003F136A" w:rsidRDefault="00BC1CE9" w:rsidP="00BC1CE9">
      <w:pPr>
        <w:pStyle w:val="Point0"/>
        <w:rPr>
          <w:szCs w:val="24"/>
        </w:rPr>
      </w:pPr>
      <w:r>
        <w:rPr>
          <w:szCs w:val="24"/>
        </w:rPr>
        <w:t>(1)</w:t>
      </w:r>
      <w:r>
        <w:rPr>
          <w:szCs w:val="24"/>
        </w:rPr>
        <w:tab/>
      </w:r>
      <w:r w:rsidR="003F136A" w:rsidRPr="00E822E0">
        <w:rPr>
          <w:szCs w:val="24"/>
        </w:rPr>
        <w:t>Article 6</w:t>
      </w:r>
      <w:r w:rsidR="00A8611A" w:rsidRPr="00A8611A">
        <w:rPr>
          <w:szCs w:val="24"/>
        </w:rPr>
        <w:t xml:space="preserve"> </w:t>
      </w:r>
      <w:r w:rsidR="00A8611A" w:rsidRPr="00C35283">
        <w:rPr>
          <w:szCs w:val="24"/>
        </w:rPr>
        <w:t>is replaced by the following:</w:t>
      </w:r>
    </w:p>
    <w:p w14:paraId="7725AE04" w14:textId="34D664D3" w:rsidR="00A8611A" w:rsidRPr="00451613" w:rsidRDefault="00A8611A" w:rsidP="00451613">
      <w:pPr>
        <w:pStyle w:val="Text1"/>
        <w:ind w:left="851"/>
        <w:jc w:val="center"/>
        <w:rPr>
          <w:i/>
        </w:rPr>
      </w:pPr>
      <w:r w:rsidRPr="00451613">
        <w:rPr>
          <w:i/>
        </w:rPr>
        <w:t>“Article 6</w:t>
      </w:r>
      <w:r w:rsidR="00E354AA" w:rsidRPr="00451613">
        <w:rPr>
          <w:i/>
        </w:rPr>
        <w:br/>
      </w:r>
      <w:r w:rsidRPr="00451613">
        <w:rPr>
          <w:i/>
        </w:rPr>
        <w:t>Authorisation holder</w:t>
      </w:r>
    </w:p>
    <w:p w14:paraId="26B9BC61" w14:textId="79CEEDCF" w:rsidR="00A8611A" w:rsidRPr="00E822E0" w:rsidRDefault="00A8611A" w:rsidP="00E354AA">
      <w:pPr>
        <w:pStyle w:val="Text1"/>
        <w:rPr>
          <w:szCs w:val="24"/>
        </w:rPr>
      </w:pPr>
      <w:r w:rsidRPr="00A8611A">
        <w:rPr>
          <w:szCs w:val="24"/>
        </w:rPr>
        <w:t>The authorisation holder shall be Dow AgroSciences Distribution S.A.S.</w:t>
      </w:r>
      <w:r w:rsidR="00A71993">
        <w:rPr>
          <w:szCs w:val="24"/>
        </w:rPr>
        <w:t>,</w:t>
      </w:r>
      <w:r w:rsidR="00A71993" w:rsidRPr="00A71993">
        <w:rPr>
          <w:lang w:val="en-US"/>
        </w:rPr>
        <w:t xml:space="preserve"> </w:t>
      </w:r>
      <w:r w:rsidR="00A71993">
        <w:rPr>
          <w:lang w:val="en-US"/>
        </w:rPr>
        <w:t>France.</w:t>
      </w:r>
      <w:r w:rsidRPr="00A8611A">
        <w:rPr>
          <w:szCs w:val="24"/>
        </w:rPr>
        <w:t>”;</w:t>
      </w:r>
    </w:p>
    <w:p w14:paraId="54590FF1" w14:textId="521D6D21" w:rsidR="005255DD" w:rsidRDefault="003F136A" w:rsidP="003F136A">
      <w:pPr>
        <w:pStyle w:val="Point0"/>
        <w:rPr>
          <w:szCs w:val="24"/>
        </w:rPr>
      </w:pPr>
      <w:r w:rsidRPr="00E822E0">
        <w:rPr>
          <w:szCs w:val="24"/>
        </w:rPr>
        <w:t>(2)</w:t>
      </w:r>
      <w:r w:rsidRPr="00E822E0">
        <w:rPr>
          <w:szCs w:val="24"/>
        </w:rPr>
        <w:tab/>
        <w:t>Article 8</w:t>
      </w:r>
      <w:r w:rsidR="005255DD">
        <w:rPr>
          <w:szCs w:val="24"/>
        </w:rPr>
        <w:t xml:space="preserve"> </w:t>
      </w:r>
      <w:r w:rsidR="005255DD" w:rsidRPr="00C35283">
        <w:rPr>
          <w:szCs w:val="24"/>
        </w:rPr>
        <w:t>is replaced by the following:</w:t>
      </w:r>
    </w:p>
    <w:p w14:paraId="211D7D91" w14:textId="25ED8B7B" w:rsidR="005255DD" w:rsidRPr="00451613" w:rsidRDefault="005255DD" w:rsidP="00451613">
      <w:pPr>
        <w:pStyle w:val="Text1"/>
        <w:ind w:left="851"/>
        <w:jc w:val="center"/>
        <w:rPr>
          <w:i/>
        </w:rPr>
      </w:pPr>
      <w:r w:rsidRPr="00451613">
        <w:rPr>
          <w:i/>
        </w:rPr>
        <w:t>“</w:t>
      </w:r>
      <w:r w:rsidRPr="00C35283">
        <w:rPr>
          <w:i/>
        </w:rPr>
        <w:t>Article 8</w:t>
      </w:r>
      <w:r w:rsidR="00E354AA">
        <w:rPr>
          <w:i/>
        </w:rPr>
        <w:br/>
      </w:r>
      <w:r w:rsidRPr="00E354AA">
        <w:rPr>
          <w:i/>
        </w:rPr>
        <w:t>Addressee</w:t>
      </w:r>
    </w:p>
    <w:p w14:paraId="0366EC36" w14:textId="77777777" w:rsidR="005255DD" w:rsidRPr="00A8611A" w:rsidRDefault="005255DD" w:rsidP="00E354AA">
      <w:pPr>
        <w:pStyle w:val="Text1"/>
      </w:pPr>
      <w:r w:rsidRPr="00447DEF">
        <w:t>This Decision is addressed to Dow AgroSciences Distribution S.A.S., 6, rue Jean Pierr</w:t>
      </w:r>
      <w:r w:rsidRPr="00A8611A">
        <w:t>e Timbaud, 78180 Montigny le Bretonneux, France.”;</w:t>
      </w:r>
    </w:p>
    <w:p w14:paraId="0FDF33A1" w14:textId="735D1134" w:rsidR="00AE4FCB" w:rsidRDefault="003F136A" w:rsidP="00CF66D0">
      <w:pPr>
        <w:pStyle w:val="Point0"/>
        <w:rPr>
          <w:szCs w:val="24"/>
        </w:rPr>
      </w:pPr>
      <w:r w:rsidRPr="00E822E0">
        <w:rPr>
          <w:szCs w:val="24"/>
        </w:rPr>
        <w:t>(3)</w:t>
      </w:r>
      <w:r w:rsidRPr="00E822E0">
        <w:rPr>
          <w:szCs w:val="24"/>
        </w:rPr>
        <w:tab/>
      </w:r>
      <w:r w:rsidR="00AE4FCB">
        <w:rPr>
          <w:szCs w:val="24"/>
        </w:rPr>
        <w:t>P</w:t>
      </w:r>
      <w:r w:rsidRPr="00E822E0">
        <w:rPr>
          <w:szCs w:val="24"/>
        </w:rPr>
        <w:t>oint (a) of the Annex</w:t>
      </w:r>
      <w:r w:rsidR="00AE4FCB">
        <w:rPr>
          <w:szCs w:val="24"/>
        </w:rPr>
        <w:t xml:space="preserve"> </w:t>
      </w:r>
      <w:r w:rsidR="00AE4FCB" w:rsidRPr="00C35283">
        <w:rPr>
          <w:szCs w:val="24"/>
        </w:rPr>
        <w:t>is replaced by the following:</w:t>
      </w:r>
    </w:p>
    <w:p w14:paraId="19BBA518" w14:textId="59367973" w:rsidR="00AE4FCB" w:rsidRPr="00447DEF" w:rsidRDefault="00E354AA" w:rsidP="00E354AA">
      <w:pPr>
        <w:pStyle w:val="Point1"/>
      </w:pPr>
      <w:r>
        <w:t>“(a)</w:t>
      </w:r>
      <w:r>
        <w:tab/>
      </w:r>
      <w:r w:rsidR="00AE4FCB" w:rsidRPr="00447DEF">
        <w:t>Authorisation holder</w:t>
      </w:r>
    </w:p>
    <w:p w14:paraId="4EB94343" w14:textId="77777777" w:rsidR="00AE4FCB" w:rsidRPr="00447DEF" w:rsidRDefault="00AE4FCB" w:rsidP="00E354AA">
      <w:pPr>
        <w:pStyle w:val="Text2"/>
      </w:pPr>
      <w:r w:rsidRPr="00447DEF">
        <w:t>Name: Dow AgroSciences Distribution S.A.S.</w:t>
      </w:r>
    </w:p>
    <w:p w14:paraId="34564E5D" w14:textId="77777777" w:rsidR="00AE4FCB" w:rsidRPr="00C35283" w:rsidRDefault="00AE4FCB" w:rsidP="00E354AA">
      <w:pPr>
        <w:pStyle w:val="Text2"/>
        <w:rPr>
          <w:lang w:val="fr-BE"/>
        </w:rPr>
      </w:pPr>
      <w:r w:rsidRPr="00C35283">
        <w:rPr>
          <w:lang w:val="fr-BE"/>
        </w:rPr>
        <w:t>Address: 6, rue Jean Pierre Timbaud, 78180 Montigny le Bretonneux, France.”.</w:t>
      </w:r>
    </w:p>
    <w:p w14:paraId="701D3766" w14:textId="1E21C106" w:rsidR="00A26B2E" w:rsidRPr="00E822E0" w:rsidRDefault="00A26B2E" w:rsidP="00A26B2E">
      <w:pPr>
        <w:pStyle w:val="Titrearticle"/>
        <w:rPr>
          <w:b/>
          <w:i w:val="0"/>
          <w:szCs w:val="24"/>
        </w:rPr>
      </w:pPr>
      <w:r w:rsidRPr="00E822E0">
        <w:rPr>
          <w:szCs w:val="24"/>
        </w:rPr>
        <w:lastRenderedPageBreak/>
        <w:t xml:space="preserve">Article </w:t>
      </w:r>
      <w:r w:rsidR="00527E35">
        <w:rPr>
          <w:szCs w:val="24"/>
        </w:rPr>
        <w:t>4</w:t>
      </w:r>
      <w:r w:rsidRPr="00E822E0">
        <w:rPr>
          <w:szCs w:val="24"/>
        </w:rPr>
        <w:br/>
      </w:r>
      <w:r w:rsidRPr="00E822E0">
        <w:rPr>
          <w:b/>
          <w:i w:val="0"/>
          <w:szCs w:val="24"/>
        </w:rPr>
        <w:t>Amendment to Commission Implementing Decision (EU) 201</w:t>
      </w:r>
      <w:r w:rsidR="002837A0" w:rsidRPr="00E822E0">
        <w:rPr>
          <w:b/>
          <w:i w:val="0"/>
          <w:szCs w:val="24"/>
        </w:rPr>
        <w:t>7/2449</w:t>
      </w:r>
    </w:p>
    <w:p w14:paraId="2BE33FD6" w14:textId="67F86656" w:rsidR="00A26B2E" w:rsidRPr="00E822E0" w:rsidRDefault="00A26B2E" w:rsidP="00A26B2E">
      <w:pPr>
        <w:rPr>
          <w:szCs w:val="24"/>
        </w:rPr>
      </w:pPr>
      <w:r w:rsidRPr="00E822E0">
        <w:rPr>
          <w:szCs w:val="24"/>
        </w:rPr>
        <w:t>Commission Implementing Decision (EU) 201</w:t>
      </w:r>
      <w:r w:rsidR="002837A0" w:rsidRPr="00E822E0">
        <w:rPr>
          <w:szCs w:val="24"/>
        </w:rPr>
        <w:t>7/2449</w:t>
      </w:r>
      <w:r w:rsidRPr="00E822E0">
        <w:rPr>
          <w:szCs w:val="24"/>
        </w:rPr>
        <w:t xml:space="preserve"> is amended as follows:</w:t>
      </w:r>
    </w:p>
    <w:p w14:paraId="7C1DDCF4" w14:textId="0FF6D53B" w:rsidR="003F7E56" w:rsidRDefault="00A26B2E" w:rsidP="00A26B2E">
      <w:pPr>
        <w:pStyle w:val="Point0"/>
        <w:rPr>
          <w:szCs w:val="24"/>
        </w:rPr>
      </w:pPr>
      <w:r w:rsidRPr="00E822E0">
        <w:rPr>
          <w:szCs w:val="24"/>
        </w:rPr>
        <w:t>(1)</w:t>
      </w:r>
      <w:r w:rsidRPr="00E822E0">
        <w:rPr>
          <w:szCs w:val="24"/>
        </w:rPr>
        <w:tab/>
        <w:t xml:space="preserve">Article </w:t>
      </w:r>
      <w:r w:rsidR="00DA62E4" w:rsidRPr="00E822E0">
        <w:rPr>
          <w:szCs w:val="24"/>
        </w:rPr>
        <w:t>7</w:t>
      </w:r>
      <w:r w:rsidR="003F7E56">
        <w:rPr>
          <w:szCs w:val="24"/>
        </w:rPr>
        <w:t xml:space="preserve"> </w:t>
      </w:r>
      <w:r w:rsidR="003F7E56" w:rsidRPr="00C35283">
        <w:rPr>
          <w:szCs w:val="24"/>
        </w:rPr>
        <w:t>is replaced by the following:</w:t>
      </w:r>
    </w:p>
    <w:p w14:paraId="2769E0C0" w14:textId="68512848" w:rsidR="003F7E56" w:rsidRPr="00E354AA" w:rsidRDefault="003F7E56" w:rsidP="00451613">
      <w:pPr>
        <w:pStyle w:val="Text1"/>
        <w:ind w:left="851"/>
        <w:jc w:val="center"/>
        <w:rPr>
          <w:i/>
        </w:rPr>
      </w:pPr>
      <w:r w:rsidRPr="00451613">
        <w:rPr>
          <w:i/>
        </w:rPr>
        <w:t>“</w:t>
      </w:r>
      <w:r>
        <w:rPr>
          <w:i/>
        </w:rPr>
        <w:t>Article 7</w:t>
      </w:r>
      <w:r w:rsidR="00E354AA">
        <w:rPr>
          <w:i/>
        </w:rPr>
        <w:br/>
      </w:r>
      <w:r w:rsidRPr="00E354AA">
        <w:rPr>
          <w:i/>
        </w:rPr>
        <w:t>Authorisation holder</w:t>
      </w:r>
    </w:p>
    <w:p w14:paraId="23DFE3B8" w14:textId="3FA60538" w:rsidR="003F7E56" w:rsidRPr="00B00A5F" w:rsidRDefault="003F7E56" w:rsidP="00E354AA">
      <w:pPr>
        <w:pStyle w:val="Text1"/>
      </w:pPr>
      <w:r w:rsidRPr="00B00A5F">
        <w:t>The authorisation holder shall be Dow AgroSciences Distribution S.A.S.</w:t>
      </w:r>
      <w:r w:rsidR="00A71993">
        <w:rPr>
          <w:lang w:val="en-US"/>
        </w:rPr>
        <w:t>, France,</w:t>
      </w:r>
      <w:r w:rsidRPr="00B00A5F">
        <w:t xml:space="preserve"> </w:t>
      </w:r>
      <w:r>
        <w:t>on behalf of Dow AgroSciences LLC</w:t>
      </w:r>
      <w:r w:rsidRPr="00B00A5F">
        <w:t>.”;</w:t>
      </w:r>
    </w:p>
    <w:p w14:paraId="0A31C1C9" w14:textId="288699D1" w:rsidR="003F7E56" w:rsidRDefault="00A26B2E" w:rsidP="00A26B2E">
      <w:pPr>
        <w:pStyle w:val="Point0"/>
        <w:rPr>
          <w:szCs w:val="24"/>
        </w:rPr>
      </w:pPr>
      <w:r w:rsidRPr="00E822E0">
        <w:rPr>
          <w:szCs w:val="24"/>
        </w:rPr>
        <w:t>(2)</w:t>
      </w:r>
      <w:r w:rsidRPr="00E822E0">
        <w:rPr>
          <w:szCs w:val="24"/>
        </w:rPr>
        <w:tab/>
      </w:r>
      <w:r w:rsidR="00DA62E4" w:rsidRPr="00E822E0">
        <w:rPr>
          <w:szCs w:val="24"/>
        </w:rPr>
        <w:t>Article 9</w:t>
      </w:r>
      <w:r w:rsidR="003F7E56">
        <w:rPr>
          <w:szCs w:val="24"/>
        </w:rPr>
        <w:t xml:space="preserve"> </w:t>
      </w:r>
      <w:r w:rsidR="003F7E56" w:rsidRPr="00C35283">
        <w:rPr>
          <w:szCs w:val="24"/>
        </w:rPr>
        <w:t>is replaced by the following:</w:t>
      </w:r>
    </w:p>
    <w:p w14:paraId="377B286A" w14:textId="041161BE" w:rsidR="003F7E56" w:rsidRPr="00E354AA" w:rsidRDefault="003F7E56" w:rsidP="00451613">
      <w:pPr>
        <w:pStyle w:val="Text1"/>
        <w:ind w:left="851"/>
        <w:jc w:val="center"/>
        <w:rPr>
          <w:i/>
        </w:rPr>
      </w:pPr>
      <w:r w:rsidRPr="00451613">
        <w:rPr>
          <w:i/>
        </w:rPr>
        <w:t>“</w:t>
      </w:r>
      <w:r w:rsidRPr="00C35283">
        <w:rPr>
          <w:i/>
        </w:rPr>
        <w:t xml:space="preserve">Article </w:t>
      </w:r>
      <w:r>
        <w:rPr>
          <w:i/>
        </w:rPr>
        <w:t>9</w:t>
      </w:r>
      <w:r w:rsidR="00E354AA">
        <w:rPr>
          <w:i/>
        </w:rPr>
        <w:br/>
      </w:r>
      <w:r w:rsidRPr="00E354AA">
        <w:rPr>
          <w:i/>
        </w:rPr>
        <w:t>Addressee</w:t>
      </w:r>
    </w:p>
    <w:p w14:paraId="0ACA3763" w14:textId="77777777" w:rsidR="003F7E56" w:rsidRPr="00A8611A" w:rsidRDefault="003F7E56" w:rsidP="00E354AA">
      <w:pPr>
        <w:pStyle w:val="Text1"/>
      </w:pPr>
      <w:r w:rsidRPr="00447DEF">
        <w:t>This Decision is addressed to Dow AgroSciences Distribution S.A.S., 6, rue Jean Pierr</w:t>
      </w:r>
      <w:r w:rsidRPr="00A8611A">
        <w:t>e Timbaud, 78180 Montigny le Bretonneux, France.”;</w:t>
      </w:r>
    </w:p>
    <w:p w14:paraId="56C0A4ED" w14:textId="3B1FA1E8" w:rsidR="00A26B2E" w:rsidRPr="00E822E0" w:rsidRDefault="00A26B2E" w:rsidP="00CF66D0">
      <w:pPr>
        <w:pStyle w:val="Point0"/>
        <w:rPr>
          <w:szCs w:val="24"/>
        </w:rPr>
      </w:pPr>
      <w:r w:rsidRPr="00E822E0">
        <w:rPr>
          <w:szCs w:val="24"/>
        </w:rPr>
        <w:t>(3)</w:t>
      </w:r>
      <w:r w:rsidRPr="00E822E0">
        <w:rPr>
          <w:szCs w:val="24"/>
        </w:rPr>
        <w:tab/>
        <w:t>In point (a) of the Annex, the name “Dow AgroSciences Europe</w:t>
      </w:r>
      <w:r w:rsidRPr="00E822E0">
        <w:rPr>
          <w:szCs w:val="24"/>
          <w:lang w:val="en-US"/>
        </w:rPr>
        <w:t>” is replaced by “Dow AgroSciences Distribution S.A.S.</w:t>
      </w:r>
      <w:r w:rsidRPr="00E822E0">
        <w:rPr>
          <w:szCs w:val="24"/>
        </w:rPr>
        <w:t>”; the address “European Development Centre, 3 Milton Park, Abingdon, Oxon OX14 4RN, United Kingdom” is replaced by “6, rue Jean Pierre Timbaud, 78180 Montigny le Bretonneux, France”.</w:t>
      </w:r>
    </w:p>
    <w:p w14:paraId="1D7D7958" w14:textId="65199136" w:rsidR="00167219" w:rsidRPr="00E822E0" w:rsidRDefault="00167219" w:rsidP="00167219">
      <w:pPr>
        <w:pStyle w:val="Titrearticle"/>
        <w:rPr>
          <w:b/>
          <w:i w:val="0"/>
          <w:szCs w:val="24"/>
        </w:rPr>
      </w:pPr>
      <w:r w:rsidRPr="00E822E0">
        <w:rPr>
          <w:szCs w:val="24"/>
        </w:rPr>
        <w:t xml:space="preserve">Article </w:t>
      </w:r>
      <w:r w:rsidR="00527E35">
        <w:rPr>
          <w:szCs w:val="24"/>
        </w:rPr>
        <w:t>5</w:t>
      </w:r>
      <w:r w:rsidRPr="00E822E0">
        <w:rPr>
          <w:szCs w:val="24"/>
        </w:rPr>
        <w:br/>
      </w:r>
      <w:r w:rsidRPr="00E822E0">
        <w:rPr>
          <w:b/>
          <w:i w:val="0"/>
          <w:szCs w:val="24"/>
        </w:rPr>
        <w:t>Amendment to Commission Implementing Decision (EU) 2017/2450</w:t>
      </w:r>
    </w:p>
    <w:p w14:paraId="71A4F451" w14:textId="16B7E3F9" w:rsidR="00167219" w:rsidRPr="00E822E0" w:rsidRDefault="00167219" w:rsidP="00167219">
      <w:pPr>
        <w:rPr>
          <w:szCs w:val="24"/>
        </w:rPr>
      </w:pPr>
      <w:r w:rsidRPr="00E822E0">
        <w:rPr>
          <w:szCs w:val="24"/>
        </w:rPr>
        <w:t>Commission Implementing Decision (EU) 2017/2450 is amended as follows:</w:t>
      </w:r>
    </w:p>
    <w:p w14:paraId="29A8DC49" w14:textId="20E4A161" w:rsidR="00B169F3" w:rsidRDefault="00167219" w:rsidP="00167219">
      <w:pPr>
        <w:pStyle w:val="Point0"/>
        <w:rPr>
          <w:szCs w:val="24"/>
        </w:rPr>
      </w:pPr>
      <w:r w:rsidRPr="00E822E0">
        <w:rPr>
          <w:szCs w:val="24"/>
        </w:rPr>
        <w:t>(1)</w:t>
      </w:r>
      <w:r w:rsidRPr="00E822E0">
        <w:rPr>
          <w:szCs w:val="24"/>
        </w:rPr>
        <w:tab/>
        <w:t>Article 7</w:t>
      </w:r>
      <w:r w:rsidR="00B169F3">
        <w:rPr>
          <w:szCs w:val="24"/>
        </w:rPr>
        <w:t xml:space="preserve"> </w:t>
      </w:r>
      <w:r w:rsidR="00B169F3" w:rsidRPr="00C35283">
        <w:rPr>
          <w:szCs w:val="24"/>
        </w:rPr>
        <w:t>is replaced by the following:</w:t>
      </w:r>
    </w:p>
    <w:p w14:paraId="25A0C30B" w14:textId="11A355AC" w:rsidR="00B169F3" w:rsidRPr="00E354AA" w:rsidRDefault="00B169F3" w:rsidP="00451613">
      <w:pPr>
        <w:pStyle w:val="Text1"/>
        <w:ind w:left="851"/>
        <w:jc w:val="center"/>
        <w:rPr>
          <w:i/>
        </w:rPr>
      </w:pPr>
      <w:r w:rsidRPr="00451613">
        <w:rPr>
          <w:i/>
        </w:rPr>
        <w:t>“</w:t>
      </w:r>
      <w:r>
        <w:rPr>
          <w:i/>
        </w:rPr>
        <w:t>Article 7</w:t>
      </w:r>
      <w:r w:rsidR="00E354AA">
        <w:rPr>
          <w:i/>
        </w:rPr>
        <w:br/>
      </w:r>
      <w:r w:rsidRPr="00E354AA">
        <w:rPr>
          <w:i/>
        </w:rPr>
        <w:t>Authorisation holder</w:t>
      </w:r>
    </w:p>
    <w:p w14:paraId="23673977" w14:textId="34E047A7" w:rsidR="00B169F3" w:rsidRPr="00B00A5F" w:rsidRDefault="00B169F3" w:rsidP="00F34510">
      <w:pPr>
        <w:pStyle w:val="Text1"/>
      </w:pPr>
      <w:r w:rsidRPr="00B00A5F">
        <w:t>The authorisation holder shall be Dow AgroSciences Distribution S.A.S.</w:t>
      </w:r>
      <w:r>
        <w:t>,</w:t>
      </w:r>
      <w:r w:rsidR="00270280" w:rsidRPr="00270280">
        <w:rPr>
          <w:lang w:val="en-US"/>
        </w:rPr>
        <w:t xml:space="preserve"> </w:t>
      </w:r>
      <w:r w:rsidR="00270280">
        <w:rPr>
          <w:lang w:val="en-US"/>
        </w:rPr>
        <w:t>France,</w:t>
      </w:r>
      <w:r>
        <w:t xml:space="preserve"> representing Dow AgroSciences LLC, United States, and M.S. Technologies LLC, United States</w:t>
      </w:r>
      <w:r w:rsidRPr="00B00A5F">
        <w:t>.”;</w:t>
      </w:r>
    </w:p>
    <w:p w14:paraId="70F26496" w14:textId="007D7FE1" w:rsidR="006E22AE" w:rsidRDefault="00167219" w:rsidP="00167219">
      <w:pPr>
        <w:pStyle w:val="Point0"/>
        <w:rPr>
          <w:szCs w:val="24"/>
        </w:rPr>
      </w:pPr>
      <w:r w:rsidRPr="00E822E0">
        <w:rPr>
          <w:szCs w:val="24"/>
        </w:rPr>
        <w:t>(2)</w:t>
      </w:r>
      <w:r w:rsidRPr="00E822E0">
        <w:rPr>
          <w:szCs w:val="24"/>
        </w:rPr>
        <w:tab/>
        <w:t>Article 9</w:t>
      </w:r>
      <w:r w:rsidR="006E22AE">
        <w:rPr>
          <w:szCs w:val="24"/>
        </w:rPr>
        <w:t xml:space="preserve"> </w:t>
      </w:r>
      <w:r w:rsidR="006E22AE" w:rsidRPr="00C35283">
        <w:rPr>
          <w:szCs w:val="24"/>
        </w:rPr>
        <w:t>is replaced by the following:</w:t>
      </w:r>
    </w:p>
    <w:p w14:paraId="4DE1E975" w14:textId="748A9A03" w:rsidR="006E22AE" w:rsidRPr="00F34510" w:rsidRDefault="006E22AE" w:rsidP="00451613">
      <w:pPr>
        <w:pStyle w:val="Text1"/>
        <w:ind w:left="851"/>
        <w:jc w:val="center"/>
        <w:rPr>
          <w:i/>
        </w:rPr>
      </w:pPr>
      <w:r w:rsidRPr="00451613">
        <w:rPr>
          <w:i/>
        </w:rPr>
        <w:t>“</w:t>
      </w:r>
      <w:r w:rsidRPr="00C35283">
        <w:rPr>
          <w:i/>
        </w:rPr>
        <w:t xml:space="preserve">Article </w:t>
      </w:r>
      <w:r>
        <w:rPr>
          <w:i/>
        </w:rPr>
        <w:t>9</w:t>
      </w:r>
      <w:r w:rsidR="00F34510">
        <w:rPr>
          <w:i/>
        </w:rPr>
        <w:br/>
      </w:r>
      <w:r w:rsidRPr="00F34510">
        <w:rPr>
          <w:i/>
        </w:rPr>
        <w:t>Addressee</w:t>
      </w:r>
    </w:p>
    <w:p w14:paraId="6EC5FB5A" w14:textId="77777777" w:rsidR="006E22AE" w:rsidRPr="00A8611A" w:rsidRDefault="006E22AE" w:rsidP="00F34510">
      <w:pPr>
        <w:pStyle w:val="Text1"/>
      </w:pPr>
      <w:r w:rsidRPr="00447DEF">
        <w:t>This Decision is addressed to Dow AgroSciences Distribution S.A.S., 6, rue Jean Pierr</w:t>
      </w:r>
      <w:r w:rsidRPr="00A8611A">
        <w:t>e Timbaud, 78180 Montigny le Bretonneux, France.”;</w:t>
      </w:r>
    </w:p>
    <w:p w14:paraId="605ED0FF" w14:textId="78028BE3" w:rsidR="00167219" w:rsidRPr="00E822E0" w:rsidRDefault="00167219" w:rsidP="00CF66D0">
      <w:pPr>
        <w:pStyle w:val="Point0"/>
        <w:rPr>
          <w:szCs w:val="24"/>
        </w:rPr>
      </w:pPr>
      <w:r w:rsidRPr="00E822E0">
        <w:rPr>
          <w:szCs w:val="24"/>
        </w:rPr>
        <w:t>(3)</w:t>
      </w:r>
      <w:r w:rsidRPr="00E822E0">
        <w:rPr>
          <w:szCs w:val="24"/>
        </w:rPr>
        <w:tab/>
        <w:t>In point (a) of the Annex, the name “Dow AgroSciences Europe</w:t>
      </w:r>
      <w:r w:rsidRPr="00E822E0">
        <w:rPr>
          <w:szCs w:val="24"/>
          <w:lang w:val="en-US"/>
        </w:rPr>
        <w:t>” is replaced by “Dow AgroSciences Distribution S.A.S.</w:t>
      </w:r>
      <w:r w:rsidRPr="00E822E0">
        <w:rPr>
          <w:szCs w:val="24"/>
        </w:rPr>
        <w:t>”; the address “European Development Centre, 3 Milton Park, Abingdon, Oxon OX14 4RN, United Kingdom” is replaced by “6, rue Jean Pierre Timbaud, 78180 Montigny le Bretonneux, France”.</w:t>
      </w:r>
    </w:p>
    <w:p w14:paraId="2A9C52E9" w14:textId="28B49153" w:rsidR="00290C93" w:rsidRPr="00E822E0" w:rsidRDefault="00290C93" w:rsidP="00CF66D0">
      <w:pPr>
        <w:pStyle w:val="Titrearticle"/>
        <w:keepLines/>
        <w:rPr>
          <w:b/>
          <w:i w:val="0"/>
          <w:szCs w:val="24"/>
        </w:rPr>
      </w:pPr>
      <w:r w:rsidRPr="00E822E0">
        <w:rPr>
          <w:szCs w:val="24"/>
        </w:rPr>
        <w:lastRenderedPageBreak/>
        <w:t xml:space="preserve">Article </w:t>
      </w:r>
      <w:r w:rsidR="00176F50">
        <w:rPr>
          <w:szCs w:val="24"/>
        </w:rPr>
        <w:t>6</w:t>
      </w:r>
      <w:r w:rsidRPr="00E822E0">
        <w:rPr>
          <w:szCs w:val="24"/>
        </w:rPr>
        <w:br/>
      </w:r>
      <w:r w:rsidRPr="00E822E0">
        <w:rPr>
          <w:b/>
          <w:i w:val="0"/>
          <w:szCs w:val="24"/>
        </w:rPr>
        <w:t>Addressee</w:t>
      </w:r>
    </w:p>
    <w:p w14:paraId="1CCFEC9D" w14:textId="2E2DBFA0" w:rsidR="00527E35" w:rsidRPr="00EA3F8F" w:rsidRDefault="00290C93" w:rsidP="00C24923">
      <w:pPr>
        <w:keepNext/>
        <w:keepLines/>
        <w:rPr>
          <w:highlight w:val="yellow"/>
        </w:rPr>
      </w:pPr>
      <w:r w:rsidRPr="00E822E0">
        <w:rPr>
          <w:szCs w:val="24"/>
        </w:rPr>
        <w:t>This Decision is addressed to</w:t>
      </w:r>
      <w:r w:rsidR="00527E35">
        <w:rPr>
          <w:szCs w:val="24"/>
        </w:rPr>
        <w:t xml:space="preserve"> </w:t>
      </w:r>
      <w:r w:rsidR="00350D61" w:rsidRPr="00EA3F8F">
        <w:rPr>
          <w:szCs w:val="24"/>
        </w:rPr>
        <w:t xml:space="preserve">Dow AgroSciences Distribution S.A.S., 6, rue Jean Pierre Timbaud, 78180 Montigny le Bretonneux, </w:t>
      </w:r>
      <w:r w:rsidR="00527E35" w:rsidRPr="00EA3F8F">
        <w:rPr>
          <w:szCs w:val="24"/>
        </w:rPr>
        <w:t>France.</w:t>
      </w:r>
    </w:p>
    <w:p w14:paraId="0C6254A4" w14:textId="11AF9392" w:rsidR="00527E35" w:rsidRPr="00BC1119" w:rsidRDefault="00451613" w:rsidP="00451613">
      <w:pPr>
        <w:pStyle w:val="Fait"/>
      </w:pPr>
      <w:r w:rsidRPr="00451613">
        <w:t>Done at Brussels,</w:t>
      </w:r>
    </w:p>
    <w:p w14:paraId="453EA5A6" w14:textId="68923B8B" w:rsidR="00290C93" w:rsidRDefault="00290C93" w:rsidP="00CF66D0">
      <w:pPr>
        <w:pStyle w:val="Institutionquisigne"/>
        <w:keepLines/>
      </w:pPr>
      <w:r w:rsidRPr="001E47A8">
        <w:tab/>
      </w:r>
      <w:r w:rsidRPr="00290C93">
        <w:t>For the Commission</w:t>
      </w:r>
    </w:p>
    <w:p w14:paraId="0F65B76F" w14:textId="77777777" w:rsidR="00290C93" w:rsidRDefault="00290C93" w:rsidP="00CF66D0">
      <w:pPr>
        <w:pStyle w:val="Personnequisigne"/>
        <w:keepNext/>
        <w:keepLines/>
        <w:rPr>
          <w:noProof/>
        </w:rPr>
      </w:pPr>
      <w:r w:rsidRPr="00290C93">
        <w:tab/>
      </w:r>
      <w:r>
        <w:t>Vytenis</w:t>
      </w:r>
      <w:r>
        <w:rPr>
          <w:noProof/>
        </w:rPr>
        <w:t xml:space="preserve"> ANDRIUKAITIS</w:t>
      </w:r>
    </w:p>
    <w:p w14:paraId="4C3AE6E7" w14:textId="77777777" w:rsidR="00290C93" w:rsidRPr="00290C93" w:rsidRDefault="00290C93" w:rsidP="00CF66D0">
      <w:pPr>
        <w:pStyle w:val="Personnequisigne"/>
        <w:keepNext/>
        <w:keepLines/>
      </w:pPr>
      <w:r>
        <w:tab/>
      </w:r>
      <w:r w:rsidRPr="00163B5E">
        <w:rPr>
          <w:noProof/>
        </w:rPr>
        <w:t>Member of the Commission</w:t>
      </w:r>
    </w:p>
    <w:sectPr w:rsidR="00290C93" w:rsidRPr="00290C93" w:rsidSect="00451613"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C8293" w14:textId="77777777" w:rsidR="00137F0F" w:rsidRDefault="00137F0F" w:rsidP="00290C93">
      <w:pPr>
        <w:spacing w:before="0" w:after="0"/>
      </w:pPr>
      <w:r>
        <w:separator/>
      </w:r>
    </w:p>
  </w:endnote>
  <w:endnote w:type="continuationSeparator" w:id="0">
    <w:p w14:paraId="22FEB863" w14:textId="77777777" w:rsidR="00137F0F" w:rsidRDefault="00137F0F" w:rsidP="00290C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57BBA" w14:textId="77777777" w:rsidR="00451613" w:rsidRPr="00451613" w:rsidRDefault="00451613" w:rsidP="004516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B4BE6" w14:textId="6B28C71E" w:rsidR="00B679BF" w:rsidRPr="00451613" w:rsidRDefault="00451613" w:rsidP="00451613">
    <w:pPr>
      <w:pStyle w:val="Footer"/>
      <w:rPr>
        <w:rFonts w:ascii="Arial" w:hAnsi="Arial" w:cs="Arial"/>
        <w:b/>
        <w:sz w:val="48"/>
      </w:rPr>
    </w:pPr>
    <w:r w:rsidRPr="00451613">
      <w:rPr>
        <w:rFonts w:ascii="Arial" w:hAnsi="Arial" w:cs="Arial"/>
        <w:b/>
        <w:sz w:val="48"/>
      </w:rPr>
      <w:t>EN</w:t>
    </w:r>
    <w:r w:rsidRPr="00451613">
      <w:rPr>
        <w:rFonts w:ascii="Arial" w:hAnsi="Arial" w:cs="Arial"/>
        <w:b/>
        <w:sz w:val="48"/>
      </w:rPr>
      <w:tab/>
    </w:r>
    <w:r w:rsidRPr="00451613">
      <w:rPr>
        <w:rFonts w:ascii="Arial" w:hAnsi="Arial" w:cs="Arial"/>
        <w:b/>
        <w:sz w:val="48"/>
      </w:rPr>
      <w:tab/>
    </w:r>
    <w:r w:rsidRPr="00451613">
      <w:tab/>
    </w:r>
    <w:r w:rsidRPr="00451613"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340BF" w14:textId="77777777" w:rsidR="00451613" w:rsidRPr="00451613" w:rsidRDefault="00451613" w:rsidP="0045161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CF0F6" w14:textId="1B3F451D" w:rsidR="00451613" w:rsidRPr="00451613" w:rsidRDefault="00451613" w:rsidP="00451613">
    <w:pPr>
      <w:pStyle w:val="Footer"/>
      <w:rPr>
        <w:rFonts w:ascii="Arial" w:hAnsi="Arial" w:cs="Arial"/>
        <w:b/>
        <w:sz w:val="48"/>
      </w:rPr>
    </w:pPr>
    <w:r w:rsidRPr="00451613">
      <w:rPr>
        <w:rFonts w:ascii="Arial" w:hAnsi="Arial" w:cs="Arial"/>
        <w:b/>
        <w:sz w:val="48"/>
      </w:rPr>
      <w:t>EN</w:t>
    </w:r>
    <w:r w:rsidRPr="00451613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ED66D0">
      <w:rPr>
        <w:noProof/>
      </w:rPr>
      <w:t>1</w:t>
    </w:r>
    <w:r>
      <w:fldChar w:fldCharType="end"/>
    </w:r>
    <w:r>
      <w:tab/>
    </w:r>
    <w:r w:rsidRPr="00451613">
      <w:tab/>
    </w:r>
    <w:r w:rsidRPr="00451613">
      <w:rPr>
        <w:rFonts w:ascii="Arial" w:hAnsi="Arial" w:cs="Arial"/>
        <w:b/>
        <w:sz w:val="48"/>
      </w:rPr>
      <w:t>EN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EAB12" w14:textId="77777777" w:rsidR="00451613" w:rsidRPr="00451613" w:rsidRDefault="00451613" w:rsidP="00451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5D78A" w14:textId="77777777" w:rsidR="00137F0F" w:rsidRDefault="00137F0F" w:rsidP="00290C93">
      <w:pPr>
        <w:spacing w:before="0" w:after="0"/>
      </w:pPr>
      <w:r>
        <w:separator/>
      </w:r>
    </w:p>
  </w:footnote>
  <w:footnote w:type="continuationSeparator" w:id="0">
    <w:p w14:paraId="65EE6F15" w14:textId="77777777" w:rsidR="00137F0F" w:rsidRDefault="00137F0F" w:rsidP="00290C93">
      <w:pPr>
        <w:spacing w:before="0" w:after="0"/>
      </w:pPr>
      <w:r>
        <w:continuationSeparator/>
      </w:r>
    </w:p>
  </w:footnote>
  <w:footnote w:id="1">
    <w:p w14:paraId="1CD4122B" w14:textId="77777777" w:rsidR="00290C93" w:rsidRPr="00C24923" w:rsidRDefault="00290C93" w:rsidP="00290C9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24923">
        <w:rPr>
          <w:lang w:val="en-US"/>
        </w:rPr>
        <w:tab/>
        <w:t>OJ L 268, 18.10.2003, p. 1.</w:t>
      </w:r>
    </w:p>
  </w:footnote>
  <w:footnote w:id="2">
    <w:p w14:paraId="30983C23" w14:textId="77777777" w:rsidR="00934535" w:rsidRPr="00D17912" w:rsidRDefault="00934535" w:rsidP="0093453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2E5F9B">
        <w:t xml:space="preserve">Commission Decision 2011/891/EU of 22 December 2011 authorising the placing on the market of </w:t>
      </w:r>
      <w:r w:rsidRPr="00D17912">
        <w:t>products containing, consisting of, or produced from genetically modified cotton 281-24-236x3006-210-23 (DAS-24236-5xDAS-21Ø23-5) pursuant to Regulation (EC) No 1829/2003 of the European Parliament and of the Council (OJ L 344, 28.12.2011, p. 51).</w:t>
      </w:r>
    </w:p>
  </w:footnote>
  <w:footnote w:id="3">
    <w:p w14:paraId="02A5DD70" w14:textId="77777777" w:rsidR="00934535" w:rsidRPr="0086401E" w:rsidRDefault="00934535" w:rsidP="00934535">
      <w:pPr>
        <w:pStyle w:val="FootnoteText"/>
        <w:rPr>
          <w:lang w:val="en-US"/>
        </w:rPr>
      </w:pPr>
      <w:r w:rsidRPr="00D21B4E">
        <w:rPr>
          <w:rStyle w:val="FootnoteReference"/>
        </w:rPr>
        <w:footnoteRef/>
      </w:r>
      <w:r w:rsidRPr="00D21B4E">
        <w:tab/>
        <w:t>Commission Implementing Decision (EU) 2017/1211 of 4 July 2017 authorising the placing on the market of products containing, consisting of, or produced from genetically modified cotton 281-24-236 × 3006-210-23 × MON 88913 (DAS-24236-5 × DAS-21Ø23-5 × MON-88913-8) pursuant to Regulation (EC) No 1829/2003 of the European Parliament and of the Council (OJ L 173, 6.7.2017, p.</w:t>
      </w:r>
      <w:r>
        <w:t> </w:t>
      </w:r>
      <w:r w:rsidRPr="00D21B4E">
        <w:t>38).</w:t>
      </w:r>
    </w:p>
  </w:footnote>
  <w:footnote w:id="4">
    <w:p w14:paraId="3A45CA04" w14:textId="77777777" w:rsidR="00934535" w:rsidRPr="002837A0" w:rsidRDefault="00934535" w:rsidP="0093453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2837A0">
        <w:t>Commission Implementing Decision (EU) 2017/2449 of 21 December 2017 authorising the placing on the market of products containing, consisting of, or produced from genetically modified soybean DAS-68416-4, pursuant to Regulation (EC) No 1829/2003 of the European Parliament and of the Council on genetically modified food and feed (OJ L 346, 28.12.2017, p. 12)</w:t>
      </w:r>
      <w:r>
        <w:t>.</w:t>
      </w:r>
    </w:p>
  </w:footnote>
  <w:footnote w:id="5">
    <w:p w14:paraId="4D811B9F" w14:textId="77777777" w:rsidR="00934535" w:rsidRPr="002837A0" w:rsidRDefault="00934535" w:rsidP="0093453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A83282">
        <w:t>Commission Implementing Decision (EU) 2017/2450 of 21 December 2017 authorising the placing on the market of products containing, consisting of, or produced from genetically modified soybean DAS-44406-6, pursuant to Regulation (EC) No 1829/2003 of the European Parliament and of the Council on genetically modified food and feed (OJ L 346, 28.12.2017, p. 16).</w:t>
      </w:r>
    </w:p>
  </w:footnote>
  <w:footnote w:id="6">
    <w:p w14:paraId="3A210F6B" w14:textId="519DFCCA" w:rsidR="000C38FD" w:rsidRDefault="000C38FD" w:rsidP="002D3372">
      <w:pPr>
        <w:pStyle w:val="FootnoteText"/>
      </w:pPr>
      <w:r>
        <w:rPr>
          <w:rStyle w:val="FootnoteReference"/>
        </w:rPr>
        <w:footnoteRef/>
      </w:r>
      <w:r w:rsidR="002D3372">
        <w:tab/>
      </w:r>
      <w:r w:rsidR="0058467E" w:rsidRPr="00A42420">
        <w:t>Commission Implementing Decision (EU) 2017/1212 of 4 July 2017 authorising the placing on the market of products containing, consisting of, or produced from genetically modified maize DAS-40278-9, pursuant to Regulation (EC) No 1829/2003</w:t>
      </w:r>
      <w:r w:rsidR="00A44C93">
        <w:t xml:space="preserve"> of the European P</w:t>
      </w:r>
      <w:r w:rsidR="0058467E" w:rsidRPr="00A42420">
        <w:t>arliament and of the Council on genetically modified food and feed (OJ L 173, 6.7.2017, p. 43)</w:t>
      </w:r>
      <w:r w:rsidR="002D337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B2A23" w14:textId="77777777" w:rsidR="00451613" w:rsidRPr="00451613" w:rsidRDefault="00451613" w:rsidP="004516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BC403" w14:textId="77777777" w:rsidR="00451613" w:rsidRPr="00451613" w:rsidRDefault="00451613" w:rsidP="004516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EB53B" w14:textId="77777777" w:rsidR="00451613" w:rsidRPr="00451613" w:rsidRDefault="00451613" w:rsidP="004516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1832A7B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10C0D3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95C64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DC36C1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3A66D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3440E9E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1F8B8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7CB83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11-27 10:26:4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1"/>
    <w:docVar w:name="LW_COVERPAGE_EXISTS" w:val="True"/>
    <w:docVar w:name="LW_COVERPAGE_GUID" w:val="5C2DCEA3-2753-479A-A400-45A790E0C0B5"/>
    <w:docVar w:name="LW_COVERPAGE_TYPE" w:val="1"/>
    <w:docVar w:name="LW_CROSSREFERENCE" w:val="&lt;UNUSED&gt;"/>
    <w:docVar w:name="LW_DATE.ADOPT.CP" w:val="of XXX"/>
    <w:docVar w:name="LW_DATE.ADOPT.CP_DATEFORMAT" w:val="of %DATE%"/>
    <w:docVar w:name="LW_DATE.ADOPT.CP_ISODATE" w:val="&lt;EMPTY&gt;"/>
    <w:docVar w:name="LW_DocType" w:val="COM"/>
    <w:docVar w:name="LW_EMISSION" w:val="&lt;EMPTY&gt;"/>
    <w:docVar w:name="LW_EMISSION_ISODATE" w:val="&lt;EMPTY&gt;"/>
    <w:docVar w:name="LW_EMISSION_LOCATION" w:val="BRX"/>
    <w:docVar w:name="LW_EMISSION_PREFIX" w:val="Brussels, "/>
    <w:docVar w:name="LW_EMISSION_SUFFIX" w:val="&lt;EMPTY&gt;"/>
    <w:docVar w:name="LW_ID_DOCMODEL" w:val="SJ-009"/>
    <w:docVar w:name="LW_ID_DOCSIGNATURE" w:val="SJ-009"/>
    <w:docVar w:name="LW_ID_DOCSTRUCTURE" w:val="COM/AA"/>
    <w:docVar w:name="LW_ID_DOCTYPE" w:val="SJ-009"/>
    <w:docVar w:name="LW_INTERETEEE.CP" w:val="(Text with EEA relevance)"/>
    <w:docVar w:name="LW_LANGUE" w:val="EN"/>
    <w:docVar w:name="LW_LANGUESFAISANTFOI.CP" w:val="(Only the French text is authentic)"/>
    <w:docVar w:name="LW_LEVEL_OF_SENSITIVITY" w:val="Standard treatment"/>
    <w:docVar w:name="LW_NOM.INST" w:val="EUROPEAN COMMISSION"/>
    <w:docVar w:name="LW_NOM.INST_JOINTDOC" w:val="&lt;EMPTY&gt;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18) XXX"/>
    <w:docVar w:name="LW_REF.INTERNE" w:val="SANTE/11401/201 (POOL/E3/2018/11401/11401-EN.doc)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amending Decision 2011/891/EU and Implementing Decisions (EU) 2017/1211, (EU) 2017/1212, (EU) 2017/2449 and (EU) 2017/2450 as regards the representative or the authorisation holder"/>
    <w:docVar w:name="LW_TYPE.DOC.CP" w:val="COMMISSION IMPLEMENTING DECISION"/>
  </w:docVars>
  <w:rsids>
    <w:rsidRoot w:val="00290C93"/>
    <w:rsid w:val="00002757"/>
    <w:rsid w:val="00005015"/>
    <w:rsid w:val="000152AC"/>
    <w:rsid w:val="00015E2F"/>
    <w:rsid w:val="000253F5"/>
    <w:rsid w:val="00032696"/>
    <w:rsid w:val="00036331"/>
    <w:rsid w:val="00054F0A"/>
    <w:rsid w:val="000937DE"/>
    <w:rsid w:val="000C38FD"/>
    <w:rsid w:val="000D0E45"/>
    <w:rsid w:val="000E68B9"/>
    <w:rsid w:val="000F6499"/>
    <w:rsid w:val="0011192F"/>
    <w:rsid w:val="00123E59"/>
    <w:rsid w:val="00131D4E"/>
    <w:rsid w:val="00135028"/>
    <w:rsid w:val="00137F0F"/>
    <w:rsid w:val="00142B2B"/>
    <w:rsid w:val="00167219"/>
    <w:rsid w:val="001725EB"/>
    <w:rsid w:val="00176F50"/>
    <w:rsid w:val="00183856"/>
    <w:rsid w:val="0018673D"/>
    <w:rsid w:val="001A61B7"/>
    <w:rsid w:val="001D2118"/>
    <w:rsid w:val="001D6BCD"/>
    <w:rsid w:val="001D75CC"/>
    <w:rsid w:val="001E47A8"/>
    <w:rsid w:val="001E57F5"/>
    <w:rsid w:val="00213C6C"/>
    <w:rsid w:val="00232F14"/>
    <w:rsid w:val="0023524B"/>
    <w:rsid w:val="00235D09"/>
    <w:rsid w:val="00241EAD"/>
    <w:rsid w:val="0024799C"/>
    <w:rsid w:val="00255677"/>
    <w:rsid w:val="00263E9B"/>
    <w:rsid w:val="00270280"/>
    <w:rsid w:val="0027279B"/>
    <w:rsid w:val="002737CB"/>
    <w:rsid w:val="002811AC"/>
    <w:rsid w:val="002837A0"/>
    <w:rsid w:val="00290C93"/>
    <w:rsid w:val="00295BB9"/>
    <w:rsid w:val="00295E8C"/>
    <w:rsid w:val="002A2A4D"/>
    <w:rsid w:val="002B07A7"/>
    <w:rsid w:val="002C0C3E"/>
    <w:rsid w:val="002C3065"/>
    <w:rsid w:val="002D3372"/>
    <w:rsid w:val="002E27FD"/>
    <w:rsid w:val="002E476B"/>
    <w:rsid w:val="002E5F9B"/>
    <w:rsid w:val="00301B1E"/>
    <w:rsid w:val="00304B42"/>
    <w:rsid w:val="0031628E"/>
    <w:rsid w:val="003222F9"/>
    <w:rsid w:val="0032726E"/>
    <w:rsid w:val="00333F10"/>
    <w:rsid w:val="00350D61"/>
    <w:rsid w:val="00352527"/>
    <w:rsid w:val="003624BE"/>
    <w:rsid w:val="003817F5"/>
    <w:rsid w:val="003C079A"/>
    <w:rsid w:val="003C186B"/>
    <w:rsid w:val="003D09C0"/>
    <w:rsid w:val="003D4237"/>
    <w:rsid w:val="003E5605"/>
    <w:rsid w:val="003E6DD5"/>
    <w:rsid w:val="003F136A"/>
    <w:rsid w:val="003F7E56"/>
    <w:rsid w:val="00414FA2"/>
    <w:rsid w:val="0042681D"/>
    <w:rsid w:val="00442A1E"/>
    <w:rsid w:val="00443A8A"/>
    <w:rsid w:val="00447DEF"/>
    <w:rsid w:val="00451613"/>
    <w:rsid w:val="0045524A"/>
    <w:rsid w:val="0045563E"/>
    <w:rsid w:val="004B7F7A"/>
    <w:rsid w:val="004C2CB1"/>
    <w:rsid w:val="004D0720"/>
    <w:rsid w:val="004F08D0"/>
    <w:rsid w:val="004F3EC7"/>
    <w:rsid w:val="004F7230"/>
    <w:rsid w:val="00516815"/>
    <w:rsid w:val="0052267E"/>
    <w:rsid w:val="0052422F"/>
    <w:rsid w:val="005255DD"/>
    <w:rsid w:val="00527E35"/>
    <w:rsid w:val="00544632"/>
    <w:rsid w:val="00554832"/>
    <w:rsid w:val="00563696"/>
    <w:rsid w:val="005663E7"/>
    <w:rsid w:val="005717F1"/>
    <w:rsid w:val="00573A15"/>
    <w:rsid w:val="0058467E"/>
    <w:rsid w:val="005A2C8B"/>
    <w:rsid w:val="005A3B04"/>
    <w:rsid w:val="005B15BF"/>
    <w:rsid w:val="005C16BA"/>
    <w:rsid w:val="005D3CAB"/>
    <w:rsid w:val="005D3E45"/>
    <w:rsid w:val="006054D0"/>
    <w:rsid w:val="00610D44"/>
    <w:rsid w:val="00625B74"/>
    <w:rsid w:val="0064013A"/>
    <w:rsid w:val="0064265D"/>
    <w:rsid w:val="00650CFD"/>
    <w:rsid w:val="00661D66"/>
    <w:rsid w:val="006867B4"/>
    <w:rsid w:val="00690EC9"/>
    <w:rsid w:val="00690FBB"/>
    <w:rsid w:val="006973D1"/>
    <w:rsid w:val="006A3143"/>
    <w:rsid w:val="006B2B60"/>
    <w:rsid w:val="006B7A4D"/>
    <w:rsid w:val="006C4160"/>
    <w:rsid w:val="006C5A71"/>
    <w:rsid w:val="006C6A7E"/>
    <w:rsid w:val="006E22AE"/>
    <w:rsid w:val="006F0BB1"/>
    <w:rsid w:val="006F5F19"/>
    <w:rsid w:val="00711F44"/>
    <w:rsid w:val="0071206D"/>
    <w:rsid w:val="007226C4"/>
    <w:rsid w:val="00723B69"/>
    <w:rsid w:val="00732FBB"/>
    <w:rsid w:val="00733760"/>
    <w:rsid w:val="00742623"/>
    <w:rsid w:val="0075043D"/>
    <w:rsid w:val="00760F44"/>
    <w:rsid w:val="00762620"/>
    <w:rsid w:val="00775B04"/>
    <w:rsid w:val="007770A8"/>
    <w:rsid w:val="0078390A"/>
    <w:rsid w:val="007977B4"/>
    <w:rsid w:val="00797BA3"/>
    <w:rsid w:val="007B53F3"/>
    <w:rsid w:val="007D178B"/>
    <w:rsid w:val="007D7261"/>
    <w:rsid w:val="007E15CF"/>
    <w:rsid w:val="007E4C01"/>
    <w:rsid w:val="007F2DA6"/>
    <w:rsid w:val="00800035"/>
    <w:rsid w:val="00803156"/>
    <w:rsid w:val="00807B24"/>
    <w:rsid w:val="00807C16"/>
    <w:rsid w:val="00813D3D"/>
    <w:rsid w:val="00816E9A"/>
    <w:rsid w:val="00850DA7"/>
    <w:rsid w:val="00852BDA"/>
    <w:rsid w:val="00853C7A"/>
    <w:rsid w:val="00853DB7"/>
    <w:rsid w:val="00856A5A"/>
    <w:rsid w:val="00866094"/>
    <w:rsid w:val="00874B7E"/>
    <w:rsid w:val="00877878"/>
    <w:rsid w:val="0088543D"/>
    <w:rsid w:val="00886C0C"/>
    <w:rsid w:val="00886F23"/>
    <w:rsid w:val="00890058"/>
    <w:rsid w:val="008940E9"/>
    <w:rsid w:val="0089657D"/>
    <w:rsid w:val="008A2EAC"/>
    <w:rsid w:val="008A6717"/>
    <w:rsid w:val="008B142C"/>
    <w:rsid w:val="008C510F"/>
    <w:rsid w:val="00900642"/>
    <w:rsid w:val="00905667"/>
    <w:rsid w:val="009076FC"/>
    <w:rsid w:val="009221D0"/>
    <w:rsid w:val="009233CC"/>
    <w:rsid w:val="00926625"/>
    <w:rsid w:val="009339FA"/>
    <w:rsid w:val="00934535"/>
    <w:rsid w:val="00937E0C"/>
    <w:rsid w:val="00941B42"/>
    <w:rsid w:val="00945BF3"/>
    <w:rsid w:val="0095516B"/>
    <w:rsid w:val="00963A7D"/>
    <w:rsid w:val="00981628"/>
    <w:rsid w:val="00990CD4"/>
    <w:rsid w:val="009D1AEC"/>
    <w:rsid w:val="009D6374"/>
    <w:rsid w:val="009E3A85"/>
    <w:rsid w:val="00A12E22"/>
    <w:rsid w:val="00A26B2E"/>
    <w:rsid w:val="00A360C6"/>
    <w:rsid w:val="00A41044"/>
    <w:rsid w:val="00A42420"/>
    <w:rsid w:val="00A44C93"/>
    <w:rsid w:val="00A63AC8"/>
    <w:rsid w:val="00A66E38"/>
    <w:rsid w:val="00A71993"/>
    <w:rsid w:val="00A83282"/>
    <w:rsid w:val="00A8611A"/>
    <w:rsid w:val="00A86E80"/>
    <w:rsid w:val="00AA1207"/>
    <w:rsid w:val="00AA7CED"/>
    <w:rsid w:val="00AC7435"/>
    <w:rsid w:val="00AD686B"/>
    <w:rsid w:val="00AD7683"/>
    <w:rsid w:val="00AE4FCB"/>
    <w:rsid w:val="00AE6587"/>
    <w:rsid w:val="00B00A5F"/>
    <w:rsid w:val="00B0765F"/>
    <w:rsid w:val="00B169F3"/>
    <w:rsid w:val="00B43762"/>
    <w:rsid w:val="00B679BF"/>
    <w:rsid w:val="00B73ABB"/>
    <w:rsid w:val="00B76CA4"/>
    <w:rsid w:val="00B8768C"/>
    <w:rsid w:val="00BA54E9"/>
    <w:rsid w:val="00BA7A27"/>
    <w:rsid w:val="00BC1CE9"/>
    <w:rsid w:val="00BD020F"/>
    <w:rsid w:val="00BD7402"/>
    <w:rsid w:val="00C24923"/>
    <w:rsid w:val="00C2675C"/>
    <w:rsid w:val="00C36E0D"/>
    <w:rsid w:val="00C42FC2"/>
    <w:rsid w:val="00C53290"/>
    <w:rsid w:val="00C64B30"/>
    <w:rsid w:val="00C820BB"/>
    <w:rsid w:val="00C8222F"/>
    <w:rsid w:val="00C90565"/>
    <w:rsid w:val="00CA392E"/>
    <w:rsid w:val="00CB20A2"/>
    <w:rsid w:val="00CF66D0"/>
    <w:rsid w:val="00D17912"/>
    <w:rsid w:val="00D21B4E"/>
    <w:rsid w:val="00D41F56"/>
    <w:rsid w:val="00D43E33"/>
    <w:rsid w:val="00D61AED"/>
    <w:rsid w:val="00D71DD3"/>
    <w:rsid w:val="00D93D65"/>
    <w:rsid w:val="00D93EF0"/>
    <w:rsid w:val="00DA102C"/>
    <w:rsid w:val="00DA62E4"/>
    <w:rsid w:val="00DB0748"/>
    <w:rsid w:val="00DB1401"/>
    <w:rsid w:val="00DC2A0B"/>
    <w:rsid w:val="00DC4AC1"/>
    <w:rsid w:val="00DC5486"/>
    <w:rsid w:val="00DE4370"/>
    <w:rsid w:val="00DE516F"/>
    <w:rsid w:val="00DE688D"/>
    <w:rsid w:val="00DF119D"/>
    <w:rsid w:val="00DF3E0F"/>
    <w:rsid w:val="00DF71D6"/>
    <w:rsid w:val="00E110E9"/>
    <w:rsid w:val="00E131EC"/>
    <w:rsid w:val="00E354AA"/>
    <w:rsid w:val="00E40359"/>
    <w:rsid w:val="00E45807"/>
    <w:rsid w:val="00E57341"/>
    <w:rsid w:val="00E72F48"/>
    <w:rsid w:val="00E822E0"/>
    <w:rsid w:val="00E82E3D"/>
    <w:rsid w:val="00E86F0C"/>
    <w:rsid w:val="00EA3F8F"/>
    <w:rsid w:val="00EA777B"/>
    <w:rsid w:val="00EB5DB2"/>
    <w:rsid w:val="00EC0B03"/>
    <w:rsid w:val="00EC21E8"/>
    <w:rsid w:val="00EC7981"/>
    <w:rsid w:val="00ED66D0"/>
    <w:rsid w:val="00ED699A"/>
    <w:rsid w:val="00ED6EE0"/>
    <w:rsid w:val="00F266B5"/>
    <w:rsid w:val="00F34510"/>
    <w:rsid w:val="00F45F45"/>
    <w:rsid w:val="00F5295F"/>
    <w:rsid w:val="00F6171D"/>
    <w:rsid w:val="00F653C5"/>
    <w:rsid w:val="00F67449"/>
    <w:rsid w:val="00F73AB5"/>
    <w:rsid w:val="00F76D0D"/>
    <w:rsid w:val="00F773EB"/>
    <w:rsid w:val="00F80180"/>
    <w:rsid w:val="00F8602D"/>
    <w:rsid w:val="00FA3176"/>
    <w:rsid w:val="00FA4A6B"/>
    <w:rsid w:val="00FA57A8"/>
    <w:rsid w:val="00FA7E68"/>
    <w:rsid w:val="00FB0FD8"/>
    <w:rsid w:val="00FB4B8A"/>
    <w:rsid w:val="00F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3B31B9"/>
  <w15:docId w15:val="{89115ECA-983E-4096-A35F-FCECE480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rsid w:val="00877878"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877878"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877878"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877878"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C9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AA7CED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A7CED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AA7CE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CE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CE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CE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AA7CE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CE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CE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CED"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2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2A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2A1E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A1E"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42A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A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1E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9233CC"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77878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878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77878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878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7878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7878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77878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7878"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878"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7878"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877878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877878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877878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877878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877878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8778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rsid w:val="008778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rsid w:val="00877878"/>
    <w:pPr>
      <w:ind w:left="850"/>
    </w:pPr>
  </w:style>
  <w:style w:type="paragraph" w:customStyle="1" w:styleId="Text2">
    <w:name w:val="Text 2"/>
    <w:basedOn w:val="Normal"/>
    <w:rsid w:val="00877878"/>
    <w:pPr>
      <w:ind w:left="1417"/>
    </w:pPr>
  </w:style>
  <w:style w:type="paragraph" w:customStyle="1" w:styleId="Text3">
    <w:name w:val="Text 3"/>
    <w:basedOn w:val="Normal"/>
    <w:rsid w:val="00877878"/>
    <w:pPr>
      <w:ind w:left="1984"/>
    </w:pPr>
  </w:style>
  <w:style w:type="paragraph" w:customStyle="1" w:styleId="Text4">
    <w:name w:val="Text 4"/>
    <w:basedOn w:val="Normal"/>
    <w:rsid w:val="00877878"/>
    <w:pPr>
      <w:ind w:left="2551"/>
    </w:pPr>
  </w:style>
  <w:style w:type="paragraph" w:customStyle="1" w:styleId="NormalCentered">
    <w:name w:val="Normal Centered"/>
    <w:basedOn w:val="Normal"/>
    <w:rsid w:val="00877878"/>
    <w:pPr>
      <w:jc w:val="center"/>
    </w:pPr>
  </w:style>
  <w:style w:type="paragraph" w:customStyle="1" w:styleId="NormalLeft">
    <w:name w:val="Normal Left"/>
    <w:basedOn w:val="Normal"/>
    <w:rsid w:val="00877878"/>
    <w:pPr>
      <w:jc w:val="left"/>
    </w:pPr>
  </w:style>
  <w:style w:type="paragraph" w:customStyle="1" w:styleId="NormalRight">
    <w:name w:val="Normal Right"/>
    <w:basedOn w:val="Normal"/>
    <w:rsid w:val="00877878"/>
    <w:pPr>
      <w:jc w:val="right"/>
    </w:pPr>
  </w:style>
  <w:style w:type="paragraph" w:customStyle="1" w:styleId="QuotedText">
    <w:name w:val="Quoted Text"/>
    <w:basedOn w:val="Normal"/>
    <w:rsid w:val="00877878"/>
    <w:pPr>
      <w:ind w:left="1417"/>
    </w:pPr>
  </w:style>
  <w:style w:type="paragraph" w:customStyle="1" w:styleId="Point0">
    <w:name w:val="Point 0"/>
    <w:basedOn w:val="Normal"/>
    <w:rsid w:val="00877878"/>
    <w:pPr>
      <w:ind w:left="850" w:hanging="850"/>
    </w:pPr>
  </w:style>
  <w:style w:type="paragraph" w:customStyle="1" w:styleId="Point1">
    <w:name w:val="Point 1"/>
    <w:basedOn w:val="Normal"/>
    <w:rsid w:val="00877878"/>
    <w:pPr>
      <w:ind w:left="1417" w:hanging="567"/>
    </w:pPr>
  </w:style>
  <w:style w:type="paragraph" w:customStyle="1" w:styleId="Point2">
    <w:name w:val="Point 2"/>
    <w:basedOn w:val="Normal"/>
    <w:rsid w:val="00877878"/>
    <w:pPr>
      <w:ind w:left="1984" w:hanging="567"/>
    </w:pPr>
  </w:style>
  <w:style w:type="paragraph" w:customStyle="1" w:styleId="Point3">
    <w:name w:val="Point 3"/>
    <w:basedOn w:val="Normal"/>
    <w:rsid w:val="00877878"/>
    <w:pPr>
      <w:ind w:left="2551" w:hanging="567"/>
    </w:pPr>
  </w:style>
  <w:style w:type="paragraph" w:customStyle="1" w:styleId="Point4">
    <w:name w:val="Point 4"/>
    <w:basedOn w:val="Normal"/>
    <w:rsid w:val="00877878"/>
    <w:pPr>
      <w:ind w:left="3118" w:hanging="567"/>
    </w:pPr>
  </w:style>
  <w:style w:type="paragraph" w:customStyle="1" w:styleId="Tiret0">
    <w:name w:val="Tiret 0"/>
    <w:basedOn w:val="Point0"/>
    <w:rsid w:val="00877878"/>
    <w:pPr>
      <w:numPr>
        <w:numId w:val="10"/>
      </w:numPr>
    </w:pPr>
  </w:style>
  <w:style w:type="paragraph" w:customStyle="1" w:styleId="Tiret1">
    <w:name w:val="Tiret 1"/>
    <w:basedOn w:val="Point1"/>
    <w:rsid w:val="00877878"/>
    <w:pPr>
      <w:numPr>
        <w:numId w:val="11"/>
      </w:numPr>
    </w:pPr>
  </w:style>
  <w:style w:type="paragraph" w:customStyle="1" w:styleId="Tiret2">
    <w:name w:val="Tiret 2"/>
    <w:basedOn w:val="Point2"/>
    <w:rsid w:val="00877878"/>
    <w:pPr>
      <w:numPr>
        <w:numId w:val="12"/>
      </w:numPr>
    </w:pPr>
  </w:style>
  <w:style w:type="paragraph" w:customStyle="1" w:styleId="Tiret3">
    <w:name w:val="Tiret 3"/>
    <w:basedOn w:val="Point3"/>
    <w:rsid w:val="00877878"/>
    <w:pPr>
      <w:numPr>
        <w:numId w:val="13"/>
      </w:numPr>
    </w:pPr>
  </w:style>
  <w:style w:type="paragraph" w:customStyle="1" w:styleId="Tiret4">
    <w:name w:val="Tiret 4"/>
    <w:basedOn w:val="Point4"/>
    <w:rsid w:val="00877878"/>
    <w:pPr>
      <w:numPr>
        <w:numId w:val="14"/>
      </w:numPr>
    </w:pPr>
  </w:style>
  <w:style w:type="paragraph" w:customStyle="1" w:styleId="PointDouble0">
    <w:name w:val="PointDouble 0"/>
    <w:basedOn w:val="Normal"/>
    <w:rsid w:val="00877878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877878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877878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877878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877878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877878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877878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877878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877878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877878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877878"/>
    <w:pPr>
      <w:numPr>
        <w:numId w:val="15"/>
      </w:numPr>
    </w:pPr>
  </w:style>
  <w:style w:type="paragraph" w:customStyle="1" w:styleId="NumPar2">
    <w:name w:val="NumPar 2"/>
    <w:basedOn w:val="Normal"/>
    <w:next w:val="Text1"/>
    <w:rsid w:val="00877878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rsid w:val="00877878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rsid w:val="00877878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rsid w:val="00877878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877878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877878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877878"/>
    <w:pPr>
      <w:ind w:left="850" w:hanging="850"/>
    </w:pPr>
  </w:style>
  <w:style w:type="paragraph" w:customStyle="1" w:styleId="QuotedNumPar">
    <w:name w:val="Quoted NumPar"/>
    <w:basedOn w:val="Normal"/>
    <w:rsid w:val="00877878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877878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877878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877878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877878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877878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877878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877878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877878"/>
    <w:pPr>
      <w:jc w:val="center"/>
    </w:pPr>
    <w:rPr>
      <w:b/>
    </w:rPr>
  </w:style>
  <w:style w:type="character" w:customStyle="1" w:styleId="Marker">
    <w:name w:val="Marker"/>
    <w:basedOn w:val="DefaultParagraphFont"/>
    <w:rsid w:val="00877878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877878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877878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877878"/>
    <w:pPr>
      <w:numPr>
        <w:numId w:val="17"/>
      </w:numPr>
    </w:pPr>
  </w:style>
  <w:style w:type="paragraph" w:customStyle="1" w:styleId="Point1number">
    <w:name w:val="Point 1 (number)"/>
    <w:basedOn w:val="Normal"/>
    <w:rsid w:val="00877878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rsid w:val="00877878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rsid w:val="00877878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rsid w:val="00877878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rsid w:val="00877878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rsid w:val="00877878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rsid w:val="00877878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rsid w:val="00877878"/>
    <w:pPr>
      <w:numPr>
        <w:ilvl w:val="8"/>
        <w:numId w:val="17"/>
      </w:numPr>
    </w:pPr>
  </w:style>
  <w:style w:type="paragraph" w:customStyle="1" w:styleId="Bullet0">
    <w:name w:val="Bullet 0"/>
    <w:basedOn w:val="Normal"/>
    <w:rsid w:val="00877878"/>
    <w:pPr>
      <w:numPr>
        <w:numId w:val="18"/>
      </w:numPr>
    </w:pPr>
  </w:style>
  <w:style w:type="paragraph" w:customStyle="1" w:styleId="Bullet1">
    <w:name w:val="Bullet 1"/>
    <w:basedOn w:val="Normal"/>
    <w:rsid w:val="00877878"/>
    <w:pPr>
      <w:numPr>
        <w:numId w:val="19"/>
      </w:numPr>
    </w:pPr>
  </w:style>
  <w:style w:type="paragraph" w:customStyle="1" w:styleId="Bullet2">
    <w:name w:val="Bullet 2"/>
    <w:basedOn w:val="Normal"/>
    <w:rsid w:val="00877878"/>
    <w:pPr>
      <w:numPr>
        <w:numId w:val="20"/>
      </w:numPr>
    </w:pPr>
  </w:style>
  <w:style w:type="paragraph" w:customStyle="1" w:styleId="Bullet3">
    <w:name w:val="Bullet 3"/>
    <w:basedOn w:val="Normal"/>
    <w:rsid w:val="00877878"/>
    <w:pPr>
      <w:numPr>
        <w:numId w:val="21"/>
      </w:numPr>
    </w:pPr>
  </w:style>
  <w:style w:type="paragraph" w:customStyle="1" w:styleId="Bullet4">
    <w:name w:val="Bullet 4"/>
    <w:basedOn w:val="Normal"/>
    <w:rsid w:val="00877878"/>
    <w:pPr>
      <w:numPr>
        <w:numId w:val="22"/>
      </w:numPr>
    </w:pPr>
  </w:style>
  <w:style w:type="paragraph" w:customStyle="1" w:styleId="Langue">
    <w:name w:val="Langue"/>
    <w:basedOn w:val="Normal"/>
    <w:next w:val="Rfrenceinterne"/>
    <w:rsid w:val="00877878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877878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877878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877878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877878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877878"/>
    <w:pPr>
      <w:spacing w:before="0" w:after="0"/>
    </w:pPr>
  </w:style>
  <w:style w:type="paragraph" w:customStyle="1" w:styleId="Disclaimer">
    <w:name w:val="Disclaimer"/>
    <w:basedOn w:val="Normal"/>
    <w:rsid w:val="00877878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877878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877878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877878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877878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877878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rsid w:val="00877878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877878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877878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877878"/>
    <w:pPr>
      <w:keepNext/>
    </w:pPr>
  </w:style>
  <w:style w:type="paragraph" w:customStyle="1" w:styleId="Institutionquiagit">
    <w:name w:val="Institution qui agit"/>
    <w:basedOn w:val="Normal"/>
    <w:next w:val="Normal"/>
    <w:rsid w:val="00877878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877878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877878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877878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877878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877878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877878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877878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rsid w:val="00877878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877878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sid w:val="00877878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877878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877878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877878"/>
    <w:rPr>
      <w:i/>
      <w:caps/>
    </w:rPr>
  </w:style>
  <w:style w:type="paragraph" w:customStyle="1" w:styleId="Supertitre">
    <w:name w:val="Supertitre"/>
    <w:basedOn w:val="Normal"/>
    <w:next w:val="Normal"/>
    <w:rsid w:val="00877878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877878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877878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877878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877878"/>
  </w:style>
  <w:style w:type="paragraph" w:customStyle="1" w:styleId="StatutPagedecouverture">
    <w:name w:val="Statut (Page de couverture)"/>
    <w:basedOn w:val="Statut"/>
    <w:next w:val="TypedudocumentPagedecouverture"/>
    <w:rsid w:val="00877878"/>
  </w:style>
  <w:style w:type="paragraph" w:customStyle="1" w:styleId="TitreobjetPagedecouverture">
    <w:name w:val="Titre objet (Page de couverture)"/>
    <w:basedOn w:val="Titreobjet"/>
    <w:next w:val="IntrtEEEPagedecouverture"/>
    <w:rsid w:val="00877878"/>
  </w:style>
  <w:style w:type="paragraph" w:customStyle="1" w:styleId="TypedudocumentPagedecouverture">
    <w:name w:val="Type du document (Page de couverture)"/>
    <w:basedOn w:val="Typedudocument"/>
    <w:next w:val="TitreobjetPagedecouverture"/>
    <w:rsid w:val="00877878"/>
  </w:style>
  <w:style w:type="paragraph" w:customStyle="1" w:styleId="Volume">
    <w:name w:val="Volume"/>
    <w:basedOn w:val="Normal"/>
    <w:next w:val="Confidentialit"/>
    <w:rsid w:val="00877878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877878"/>
    <w:pPr>
      <w:spacing w:after="240"/>
    </w:pPr>
  </w:style>
  <w:style w:type="paragraph" w:customStyle="1" w:styleId="Accompagnant">
    <w:name w:val="Accompagnant"/>
    <w:basedOn w:val="Normal"/>
    <w:next w:val="Typeacteprincipal"/>
    <w:rsid w:val="00877878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rsid w:val="00877878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877878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877878"/>
  </w:style>
  <w:style w:type="paragraph" w:customStyle="1" w:styleId="AccompagnantPagedecouverture">
    <w:name w:val="Accompagnant (Page de couverture)"/>
    <w:basedOn w:val="Accompagnant"/>
    <w:next w:val="TypeacteprincipalPagedecouverture"/>
    <w:rsid w:val="00877878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877878"/>
  </w:style>
  <w:style w:type="paragraph" w:customStyle="1" w:styleId="ObjetacteprincipalPagedecouverture">
    <w:name w:val="Objet acte principal (Page de couverture)"/>
    <w:basedOn w:val="Objetacteprincipal"/>
    <w:next w:val="Rfrencecroise"/>
    <w:rsid w:val="00877878"/>
  </w:style>
  <w:style w:type="paragraph" w:customStyle="1" w:styleId="LanguesfaisantfoiPagedecouverture">
    <w:name w:val="Langues faisant foi (Page de couverture)"/>
    <w:basedOn w:val="Normal"/>
    <w:next w:val="Normal"/>
    <w:rsid w:val="00877878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52DBE00-161E-4764-90D0-B1868FDC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</Template>
  <TotalTime>5</TotalTime>
  <Pages>6</Pages>
  <Words>975</Words>
  <Characters>5793</Characters>
  <Application>Microsoft Office Word</Application>
  <DocSecurity>0</DocSecurity>
  <Lines>137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SANTE/11401/2018-EN CIS Rev, 1</vt:lpstr>
    </vt:vector>
  </TitlesOfParts>
  <Company>European Commission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SANTE/11401/2018-EN</dc:title>
  <dc:subject>commission implementing decision</dc:subject>
  <dc:creator>MARQUEZ GARRIDO - uyttersprot</dc:creator>
  <cp:keywords>111401</cp:keywords>
  <dc:description>Outlook 27,11,2018</dc:description>
  <cp:lastModifiedBy>MOONS Hans (SANTE)</cp:lastModifiedBy>
  <cp:revision>5</cp:revision>
  <cp:lastPrinted>2018-11-15T07:39:00Z</cp:lastPrinted>
  <dcterms:created xsi:type="dcterms:W3CDTF">2018-11-27T09:26:00Z</dcterms:created>
  <dcterms:modified xsi:type="dcterms:W3CDTF">2018-12-19T13:43:00Z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COM/AA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SJ-009</vt:lpwstr>
  </property>
  <property fmtid="{D5CDD505-2E9C-101B-9397-08002B2CF9AE}" pid="10" name="DQCStatus">
    <vt:lpwstr>Green (DQC version 03)</vt:lpwstr>
  </property>
</Properties>
</file>